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仿宋_GB2312"/>
          <w:lang w:val="en-US" w:eastAsia="zh-CN"/>
        </w:rPr>
      </w:pPr>
      <w:bookmarkStart w:id="0" w:name="_Toc12634351"/>
      <w:bookmarkStart w:id="1" w:name="_Toc12633965"/>
      <w:r>
        <w:rPr>
          <w:rFonts w:hint="eastAsia"/>
          <w:lang w:val="en-US" w:eastAsia="zh-CN"/>
        </w:rPr>
        <w:t>附件3：</w:t>
      </w:r>
      <w:bookmarkStart w:id="7" w:name="_GoBack"/>
      <w:bookmarkEnd w:id="7"/>
    </w:p>
    <w:p/>
    <w:p/>
    <w:p/>
    <w:p/>
    <w:p>
      <w:pPr>
        <w:jc w:val="center"/>
        <w:rPr>
          <w:rFonts w:ascii="华文中宋" w:hAnsi="华文中宋" w:eastAsia="华文中宋"/>
          <w:sz w:val="44"/>
          <w:szCs w:val="44"/>
        </w:rPr>
      </w:pPr>
      <w:r>
        <w:rPr>
          <w:rFonts w:hint="eastAsia" w:ascii="华文中宋" w:hAnsi="华文中宋" w:eastAsia="华文中宋"/>
          <w:sz w:val="36"/>
          <w:szCs w:val="36"/>
        </w:rPr>
        <w:t>华润置地合同结算作业指引</w:t>
      </w:r>
    </w:p>
    <w:p/>
    <w:p/>
    <w:p/>
    <w:p/>
    <w:p/>
    <w:p/>
    <w:p/>
    <w:p/>
    <w:p/>
    <w:p/>
    <w:p/>
    <w:p/>
    <w:p/>
    <w:p/>
    <w:p/>
    <w:p/>
    <w:p/>
    <w:p/>
    <w:p/>
    <w:p/>
    <w:p>
      <w:pPr>
        <w:sectPr>
          <w:headerReference r:id="rId6" w:type="first"/>
          <w:footerReference r:id="rId8" w:type="first"/>
          <w:headerReference r:id="rId5" w:type="default"/>
          <w:footerReference r:id="rId7" w:type="default"/>
          <w:pgSz w:w="11906" w:h="16838"/>
          <w:pgMar w:top="851" w:right="1134" w:bottom="851" w:left="1134" w:header="680" w:footer="567" w:gutter="0"/>
          <w:pgNumType w:start="3"/>
          <w:cols w:space="425" w:num="1"/>
          <w:titlePg/>
          <w:docGrid w:type="lines" w:linePitch="326" w:charSpace="0"/>
        </w:sectPr>
      </w:pPr>
    </w:p>
    <w:bookmarkEnd w:id="0"/>
    <w:bookmarkEnd w:id="1"/>
    <w:p>
      <w:pPr>
        <w:widowControl w:val="0"/>
        <w:numPr>
          <w:ilvl w:val="0"/>
          <w:numId w:val="1"/>
        </w:numPr>
        <w:ind w:left="426" w:hanging="426"/>
        <w:outlineLvl w:val="0"/>
        <w:rPr>
          <w:rFonts w:ascii="仿宋" w:hAnsi="仿宋" w:eastAsia="仿宋" w:cs="仿宋"/>
          <w:b/>
          <w:color w:val="000000"/>
          <w:sz w:val="28"/>
          <w:szCs w:val="28"/>
          <w:lang w:bidi="en-US"/>
        </w:rPr>
      </w:pPr>
      <w:bookmarkStart w:id="2" w:name="_Toc410665161"/>
      <w:bookmarkStart w:id="3" w:name="_Toc342374301"/>
      <w:bookmarkStart w:id="4" w:name="_Toc342374061"/>
      <w:r>
        <w:rPr>
          <w:rFonts w:hint="eastAsia" w:ascii="仿宋" w:hAnsi="仿宋" w:eastAsia="仿宋" w:cs="仿宋"/>
          <w:b/>
          <w:color w:val="000000"/>
          <w:sz w:val="28"/>
          <w:szCs w:val="28"/>
          <w:lang w:bidi="en-US"/>
        </w:rPr>
        <w:t>术语及定义</w:t>
      </w:r>
      <w:bookmarkEnd w:id="2"/>
    </w:p>
    <w:p>
      <w:pPr>
        <w:widowControl w:val="0"/>
        <w:numPr>
          <w:ilvl w:val="1"/>
          <w:numId w:val="1"/>
        </w:numPr>
        <w:outlineLvl w:val="1"/>
        <w:rPr>
          <w:rFonts w:ascii="仿宋" w:hAnsi="仿宋" w:eastAsia="仿宋" w:cs="仿宋"/>
          <w:sz w:val="28"/>
          <w:szCs w:val="28"/>
        </w:rPr>
      </w:pPr>
      <w:r>
        <w:rPr>
          <w:rFonts w:hint="eastAsia" w:ascii="仿宋" w:hAnsi="仿宋" w:eastAsia="仿宋" w:cs="仿宋"/>
          <w:sz w:val="28"/>
          <w:szCs w:val="28"/>
        </w:rPr>
        <w:t>工程结算：指工程竣工、物资采购完毕、并经验收合格后，承包方和发包方根据双方已签订的合同、竣工图纸、往来文件、变更签证等所有与工程造价相关的资料，进行对合同价款的增减计算并确认最终的工程价款。工程结算的完成以承发包双方签订《结算书》为标志。</w:t>
      </w:r>
    </w:p>
    <w:p>
      <w:pPr>
        <w:widowControl w:val="0"/>
        <w:numPr>
          <w:ilvl w:val="0"/>
          <w:numId w:val="1"/>
        </w:numPr>
        <w:ind w:left="426" w:hanging="426"/>
        <w:outlineLvl w:val="0"/>
        <w:rPr>
          <w:rFonts w:ascii="仿宋" w:hAnsi="仿宋" w:eastAsia="仿宋" w:cs="仿宋"/>
          <w:b/>
          <w:color w:val="000000"/>
          <w:sz w:val="28"/>
          <w:szCs w:val="28"/>
          <w:lang w:bidi="en-US"/>
        </w:rPr>
      </w:pPr>
      <w:bookmarkStart w:id="5" w:name="_Toc411602415"/>
      <w:r>
        <w:rPr>
          <w:rFonts w:hint="eastAsia" w:ascii="仿宋" w:hAnsi="仿宋" w:eastAsia="仿宋" w:cs="仿宋"/>
          <w:b/>
          <w:color w:val="000000"/>
          <w:sz w:val="28"/>
          <w:szCs w:val="28"/>
          <w:lang w:bidi="en-US"/>
        </w:rPr>
        <w:t>关键活动描述</w:t>
      </w:r>
    </w:p>
    <w:p>
      <w:pPr>
        <w:widowControl w:val="0"/>
        <w:numPr>
          <w:ilvl w:val="1"/>
          <w:numId w:val="1"/>
        </w:numPr>
        <w:outlineLvl w:val="0"/>
        <w:rPr>
          <w:rFonts w:ascii="仿宋" w:hAnsi="仿宋" w:eastAsia="仿宋" w:cs="仿宋"/>
          <w:b/>
          <w:sz w:val="28"/>
          <w:szCs w:val="28"/>
        </w:rPr>
      </w:pPr>
      <w:r>
        <w:rPr>
          <w:rFonts w:hint="eastAsia" w:ascii="仿宋" w:hAnsi="仿宋" w:eastAsia="仿宋" w:cs="仿宋"/>
          <w:b/>
          <w:sz w:val="28"/>
          <w:szCs w:val="28"/>
        </w:rPr>
        <w:t>合同结算流程指引</w:t>
      </w:r>
    </w:p>
    <w:p>
      <w:pPr>
        <w:widowControl w:val="0"/>
        <w:numPr>
          <w:ilvl w:val="2"/>
          <w:numId w:val="1"/>
        </w:numPr>
        <w:tabs>
          <w:tab w:val="left" w:pos="1134"/>
        </w:tabs>
        <w:ind w:hanging="294"/>
        <w:outlineLvl w:val="0"/>
        <w:rPr>
          <w:rFonts w:ascii="仿宋" w:hAnsi="仿宋" w:eastAsia="仿宋" w:cs="仿宋"/>
          <w:b/>
          <w:sz w:val="28"/>
          <w:szCs w:val="28"/>
        </w:rPr>
      </w:pPr>
      <w:r>
        <w:rPr>
          <w:rFonts w:hint="eastAsia" w:ascii="仿宋" w:hAnsi="仿宋" w:eastAsia="仿宋" w:cs="仿宋"/>
          <w:b/>
          <w:sz w:val="28"/>
          <w:szCs w:val="28"/>
        </w:rPr>
        <w:t xml:space="preserve"> 工程合同履约验收报告签署</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1.项目部在竣工后组织设计管理部、工程管理部(如需)、承包方/供应商、监理单位、物业公司（如需）进行单项工程合同履约验收工作，各部门在工程现场签署《工程合同履约验收报告》意见。</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2.《工程合同履约验收报告》的主要内容应包含：</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(1)是否已完成全部合同约定工程实体内容；</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(2)是否已完成全部变更内容；</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(3)技术档案和施工管理资料；</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(4)工期变化影响；</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(5)工程质量是否达到合同要求等。</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3.《工程合同履约验收报告》签署后，开始办理工程合同结算。</w:t>
      </w:r>
    </w:p>
    <w:p>
      <w:pPr>
        <w:widowControl w:val="0"/>
        <w:numPr>
          <w:ilvl w:val="2"/>
          <w:numId w:val="1"/>
        </w:numPr>
        <w:tabs>
          <w:tab w:val="left" w:pos="1134"/>
        </w:tabs>
        <w:ind w:hanging="294"/>
        <w:outlineLvl w:val="0"/>
        <w:rPr>
          <w:rFonts w:ascii="仿宋" w:hAnsi="仿宋" w:eastAsia="仿宋" w:cs="仿宋"/>
          <w:b/>
          <w:sz w:val="28"/>
          <w:szCs w:val="28"/>
        </w:rPr>
      </w:pPr>
      <w:r>
        <w:rPr>
          <w:rFonts w:hint="eastAsia" w:ascii="仿宋" w:hAnsi="仿宋" w:eastAsia="仿宋" w:cs="仿宋"/>
          <w:b/>
          <w:sz w:val="28"/>
          <w:szCs w:val="28"/>
        </w:rPr>
        <w:t>结算资料上报</w:t>
      </w:r>
    </w:p>
    <w:p>
      <w:pPr>
        <w:widowControl w:val="0"/>
        <w:spacing w:before="120"/>
        <w:ind w:left="485" w:leftChars="200" w:hanging="5" w:hangingChars="2"/>
        <w:rPr>
          <w:rFonts w:ascii="仿宋" w:hAnsi="仿宋" w:eastAsia="仿宋" w:cs="仿宋"/>
          <w:sz w:val="28"/>
          <w:szCs w:val="28"/>
        </w:rPr>
      </w:pPr>
      <w:r>
        <w:rPr>
          <w:rFonts w:hint="eastAsia" w:ascii="仿宋" w:hAnsi="仿宋" w:eastAsia="仿宋" w:cs="仿宋"/>
          <w:sz w:val="28"/>
          <w:szCs w:val="28"/>
        </w:rPr>
        <w:t>《工程合同履约验收报告》签署完毕后5个工作日内，项目部组织召开结算启动会，发出“工程结算通知书”，施工单位按“工程结算通知书”的要求提出工程竣工结算申请，并提交结算资料一式四份（项目部初审完成后返给施工单位1份，项目部存档1份，合约管理部2份）。项目部应督促施工单位在竣工验收合格并取得工程合同履约验收报告后1个月内上报合同结算申报资料。</w:t>
      </w:r>
    </w:p>
    <w:p>
      <w:pPr>
        <w:widowControl w:val="0"/>
        <w:numPr>
          <w:ilvl w:val="2"/>
          <w:numId w:val="1"/>
        </w:numPr>
        <w:tabs>
          <w:tab w:val="left" w:pos="1134"/>
        </w:tabs>
        <w:ind w:hanging="294"/>
        <w:outlineLvl w:val="0"/>
        <w:rPr>
          <w:rFonts w:ascii="仿宋" w:hAnsi="仿宋" w:eastAsia="仿宋" w:cs="仿宋"/>
          <w:b/>
          <w:sz w:val="28"/>
          <w:szCs w:val="28"/>
        </w:rPr>
      </w:pPr>
      <w:r>
        <w:rPr>
          <w:rFonts w:hint="eastAsia" w:ascii="仿宋" w:hAnsi="仿宋" w:eastAsia="仿宋" w:cs="仿宋"/>
          <w:b/>
          <w:sz w:val="28"/>
          <w:szCs w:val="28"/>
        </w:rPr>
        <w:t xml:space="preserve"> 合同结算资料内容</w:t>
      </w:r>
    </w:p>
    <w:p>
      <w:pPr>
        <w:widowControl w:val="0"/>
        <w:spacing w:before="120"/>
        <w:ind w:left="480" w:leftChars="200" w:firstLine="280" w:firstLineChars="100"/>
        <w:rPr>
          <w:rFonts w:ascii="仿宋" w:hAnsi="仿宋" w:eastAsia="仿宋" w:cs="仿宋"/>
          <w:sz w:val="28"/>
          <w:szCs w:val="28"/>
        </w:rPr>
      </w:pPr>
      <w:r>
        <w:rPr>
          <w:rFonts w:hint="eastAsia" w:ascii="仿宋" w:hAnsi="仿宋" w:eastAsia="仿宋" w:cs="仿宋"/>
          <w:sz w:val="28"/>
          <w:szCs w:val="28"/>
        </w:rPr>
        <w:t>具体内容见附件《工程结算申请表》</w:t>
      </w:r>
    </w:p>
    <w:p>
      <w:pPr>
        <w:widowControl w:val="0"/>
        <w:numPr>
          <w:ilvl w:val="2"/>
          <w:numId w:val="1"/>
        </w:numPr>
        <w:tabs>
          <w:tab w:val="left" w:pos="1134"/>
        </w:tabs>
        <w:ind w:hanging="294"/>
        <w:outlineLvl w:val="0"/>
        <w:rPr>
          <w:rFonts w:ascii="仿宋" w:hAnsi="仿宋" w:eastAsia="仿宋" w:cs="仿宋"/>
          <w:b/>
          <w:sz w:val="28"/>
          <w:szCs w:val="28"/>
        </w:rPr>
      </w:pPr>
      <w:r>
        <w:rPr>
          <w:rFonts w:hint="eastAsia" w:ascii="仿宋" w:hAnsi="仿宋" w:eastAsia="仿宋" w:cs="仿宋"/>
          <w:b/>
          <w:sz w:val="28"/>
          <w:szCs w:val="28"/>
        </w:rPr>
        <w:t xml:space="preserve"> 工程结算审核</w:t>
      </w:r>
    </w:p>
    <w:p>
      <w:pPr>
        <w:widowControl w:val="0"/>
        <w:numPr>
          <w:ilvl w:val="3"/>
          <w:numId w:val="1"/>
        </w:numPr>
        <w:ind w:firstLine="131"/>
        <w:outlineLvl w:val="0"/>
        <w:rPr>
          <w:rFonts w:ascii="仿宋" w:hAnsi="仿宋" w:eastAsia="仿宋" w:cs="仿宋"/>
          <w:b/>
          <w:sz w:val="28"/>
          <w:szCs w:val="28"/>
        </w:rPr>
      </w:pPr>
      <w:r>
        <w:rPr>
          <w:rFonts w:hint="eastAsia" w:ascii="仿宋" w:hAnsi="仿宋" w:eastAsia="仿宋" w:cs="仿宋"/>
          <w:b/>
          <w:sz w:val="28"/>
          <w:szCs w:val="28"/>
        </w:rPr>
        <w:t>结算价格核对</w:t>
      </w:r>
    </w:p>
    <w:p>
      <w:pPr>
        <w:widowControl w:val="0"/>
        <w:spacing w:before="120"/>
        <w:ind w:left="972" w:leftChars="405"/>
        <w:rPr>
          <w:rFonts w:ascii="仿宋" w:hAnsi="仿宋" w:eastAsia="仿宋" w:cs="仿宋"/>
          <w:sz w:val="28"/>
          <w:szCs w:val="28"/>
        </w:rPr>
      </w:pPr>
      <w:r>
        <w:rPr>
          <w:rFonts w:hint="eastAsia" w:ascii="仿宋" w:hAnsi="仿宋" w:eastAsia="仿宋" w:cs="仿宋"/>
          <w:sz w:val="28"/>
          <w:szCs w:val="28"/>
        </w:rPr>
        <w:t>收到结算资料（一式两份）后，合约管理部存档一份并编制工程结算报告及开展与施工单位的结算核对工作。</w:t>
      </w:r>
    </w:p>
    <w:p>
      <w:pPr>
        <w:widowControl w:val="0"/>
        <w:numPr>
          <w:ilvl w:val="3"/>
          <w:numId w:val="1"/>
        </w:numPr>
        <w:ind w:firstLine="131"/>
        <w:outlineLvl w:val="0"/>
        <w:rPr>
          <w:rFonts w:ascii="仿宋" w:hAnsi="仿宋" w:eastAsia="仿宋" w:cs="仿宋"/>
          <w:b/>
          <w:sz w:val="28"/>
          <w:szCs w:val="28"/>
        </w:rPr>
      </w:pPr>
      <w:r>
        <w:rPr>
          <w:rFonts w:hint="eastAsia" w:ascii="仿宋" w:hAnsi="仿宋" w:eastAsia="仿宋" w:cs="仿宋"/>
          <w:b/>
          <w:sz w:val="28"/>
          <w:szCs w:val="28"/>
        </w:rPr>
        <w:t>合同结算审批</w:t>
      </w:r>
    </w:p>
    <w:p>
      <w:pPr>
        <w:widowControl w:val="0"/>
        <w:spacing w:before="120"/>
        <w:ind w:left="970" w:leftChars="404" w:firstLine="1"/>
        <w:rPr>
          <w:rFonts w:ascii="仿宋" w:hAnsi="仿宋" w:eastAsia="仿宋" w:cs="仿宋"/>
          <w:sz w:val="28"/>
          <w:szCs w:val="28"/>
        </w:rPr>
      </w:pPr>
      <w:r>
        <w:rPr>
          <w:rFonts w:hint="eastAsia" w:ascii="仿宋" w:hAnsi="仿宋" w:eastAsia="仿宋" w:cs="仿宋"/>
          <w:sz w:val="28"/>
          <w:szCs w:val="28"/>
        </w:rPr>
        <w:t>变更结算完成、争议解决后，城市公司合约管理部编制《工程结算造价确认书》，由施工单位加盖公章后提交，其中《工程结算造价确认书》一式四份。</w:t>
      </w:r>
    </w:p>
    <w:p>
      <w:pPr>
        <w:widowControl w:val="0"/>
        <w:spacing w:before="120"/>
        <w:ind w:left="970" w:leftChars="404" w:firstLine="1"/>
        <w:rPr>
          <w:rFonts w:ascii="仿宋" w:hAnsi="仿宋" w:eastAsia="仿宋" w:cs="仿宋"/>
          <w:sz w:val="28"/>
          <w:szCs w:val="28"/>
        </w:rPr>
      </w:pPr>
      <w:r>
        <w:rPr>
          <w:rFonts w:hint="eastAsia" w:ascii="仿宋" w:hAnsi="仿宋" w:eastAsia="仿宋" w:cs="仿宋"/>
          <w:sz w:val="28"/>
          <w:szCs w:val="28"/>
        </w:rPr>
        <w:t>城市公司合约管理部填写《工程结算审批表》，包含合同内调整相关描述及审批表，并根据审批权限进行审批。《工程结算审批表》审批通过后合约管理部组织施工单位签署正式《结算确认书》，《结算确认书》的签订标志着合同结算的完成。</w:t>
      </w:r>
    </w:p>
    <w:bookmarkEnd w:id="5"/>
    <w:p>
      <w:pPr>
        <w:widowControl w:val="0"/>
        <w:numPr>
          <w:ilvl w:val="0"/>
          <w:numId w:val="1"/>
        </w:numPr>
        <w:ind w:left="426" w:hanging="426"/>
        <w:outlineLvl w:val="0"/>
        <w:rPr>
          <w:rFonts w:ascii="仿宋" w:hAnsi="仿宋" w:eastAsia="仿宋" w:cs="仿宋"/>
          <w:b/>
          <w:color w:val="000000"/>
          <w:sz w:val="28"/>
          <w:szCs w:val="28"/>
          <w:lang w:bidi="en-US"/>
        </w:rPr>
      </w:pPr>
      <w:bookmarkStart w:id="6" w:name="_Toc411602418"/>
      <w:r>
        <w:rPr>
          <w:rFonts w:hint="eastAsia" w:ascii="仿宋" w:hAnsi="仿宋" w:eastAsia="仿宋" w:cs="仿宋"/>
          <w:b/>
          <w:color w:val="000000"/>
          <w:sz w:val="28"/>
          <w:szCs w:val="28"/>
          <w:lang w:bidi="en-US"/>
        </w:rPr>
        <w:t>支持性文件</w:t>
      </w:r>
      <w:bookmarkEnd w:id="6"/>
    </w:p>
    <w:p>
      <w:pPr>
        <w:widowControl w:val="0"/>
        <w:ind w:firstLine="560" w:firstLineChars="200"/>
        <w:rPr>
          <w:rFonts w:ascii="仿宋" w:hAnsi="仿宋" w:eastAsia="仿宋" w:cs="仿宋"/>
          <w:sz w:val="28"/>
          <w:szCs w:val="28"/>
          <w:lang w:bidi="en-US"/>
        </w:rPr>
      </w:pPr>
      <w:r>
        <w:rPr>
          <w:rFonts w:hint="eastAsia" w:ascii="仿宋" w:hAnsi="仿宋" w:eastAsia="仿宋" w:cs="仿宋"/>
          <w:bCs/>
          <w:color w:val="000000"/>
          <w:sz w:val="28"/>
          <w:szCs w:val="28"/>
        </w:rPr>
        <w:t>下述文件如有更新则参照最新文件实施。</w:t>
      </w:r>
    </w:p>
    <w:bookmarkEnd w:id="3"/>
    <w:bookmarkEnd w:id="4"/>
    <w:p>
      <w:pPr>
        <w:widowControl w:val="0"/>
        <w:numPr>
          <w:ilvl w:val="1"/>
          <w:numId w:val="1"/>
        </w:numPr>
        <w:outlineLvl w:val="0"/>
        <w:rPr>
          <w:rFonts w:ascii="仿宋" w:hAnsi="仿宋" w:eastAsia="仿宋" w:cs="仿宋"/>
          <w:sz w:val="28"/>
          <w:szCs w:val="28"/>
        </w:rPr>
      </w:pPr>
      <w:r>
        <w:rPr>
          <w:rFonts w:hint="eastAsia" w:ascii="仿宋" w:hAnsi="仿宋" w:eastAsia="仿宋" w:cs="仿宋"/>
          <w:sz w:val="28"/>
          <w:szCs w:val="28"/>
        </w:rPr>
        <w:t>《工程合同履约验收报告》</w:t>
      </w:r>
    </w:p>
    <w:p>
      <w:pPr>
        <w:widowControl w:val="0"/>
        <w:numPr>
          <w:ilvl w:val="1"/>
          <w:numId w:val="1"/>
        </w:numPr>
        <w:outlineLvl w:val="0"/>
        <w:rPr>
          <w:rFonts w:ascii="仿宋" w:hAnsi="仿宋" w:eastAsia="仿宋" w:cs="仿宋"/>
          <w:sz w:val="28"/>
          <w:szCs w:val="28"/>
        </w:rPr>
      </w:pPr>
      <w:r>
        <w:rPr>
          <w:rFonts w:hint="eastAsia" w:ascii="仿宋" w:hAnsi="仿宋" w:eastAsia="仿宋" w:cs="仿宋"/>
          <w:sz w:val="28"/>
          <w:szCs w:val="28"/>
        </w:rPr>
        <w:t>《工程结算申请表》</w:t>
      </w:r>
    </w:p>
    <w:p>
      <w:pPr>
        <w:widowControl w:val="0"/>
        <w:numPr>
          <w:ilvl w:val="1"/>
          <w:numId w:val="1"/>
        </w:numPr>
        <w:outlineLvl w:val="0"/>
        <w:rPr>
          <w:rFonts w:ascii="仿宋" w:hAnsi="仿宋" w:eastAsia="仿宋" w:cs="仿宋"/>
          <w:sz w:val="28"/>
          <w:szCs w:val="28"/>
        </w:rPr>
      </w:pPr>
      <w:r>
        <w:rPr>
          <w:rFonts w:hint="eastAsia" w:ascii="仿宋" w:hAnsi="仿宋" w:eastAsia="仿宋" w:cs="仿宋"/>
          <w:sz w:val="28"/>
          <w:szCs w:val="28"/>
        </w:rPr>
        <w:t>《工程结算造价确认书》</w:t>
      </w:r>
    </w:p>
    <w:p>
      <w:pPr>
        <w:widowControl w:val="0"/>
        <w:numPr>
          <w:ilvl w:val="1"/>
          <w:numId w:val="1"/>
        </w:numPr>
        <w:outlineLvl w:val="0"/>
        <w:rPr>
          <w:rFonts w:ascii="仿宋" w:hAnsi="仿宋" w:eastAsia="仿宋" w:cs="仿宋"/>
          <w:sz w:val="28"/>
          <w:szCs w:val="28"/>
        </w:rPr>
      </w:pPr>
      <w:r>
        <w:rPr>
          <w:rFonts w:hint="eastAsia" w:ascii="仿宋" w:hAnsi="仿宋" w:eastAsia="仿宋" w:cs="仿宋"/>
          <w:sz w:val="28"/>
          <w:szCs w:val="28"/>
        </w:rPr>
        <w:t>《结算书》</w:t>
      </w:r>
    </w:p>
    <w:p>
      <w:pPr>
        <w:rPr>
          <w:rFonts w:ascii="仿宋" w:hAnsi="仿宋" w:eastAsia="仿宋"/>
        </w:rPr>
      </w:pPr>
    </w:p>
    <w:sectPr>
      <w:pgSz w:w="11906" w:h="16838"/>
      <w:pgMar w:top="1134" w:right="1134" w:bottom="1134" w:left="1134" w:header="567"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rPr>
        <w:rFonts w:ascii="黑体" w:hAnsi="黑体" w:eastAsia="黑体"/>
        <w:color w:val="000000"/>
        <w:sz w:val="15"/>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240" w:lineRule="auto"/>
      <w:jc w:val="right"/>
      <w:rPr>
        <w:rFonts w:ascii="黑体" w:hAnsi="黑体" w:eastAsia="黑体" w:cs="黑体"/>
      </w:rPr>
    </w:pPr>
    <w:r>
      <w:rPr>
        <w:rFonts w:hint="eastAsia" w:ascii="黑体" w:hAnsi="黑体" w:eastAsia="黑体" w:cs="黑体"/>
        <w:color w:val="FF0000"/>
        <w:kern w:val="0"/>
      </w:rPr>
      <w:drawing>
        <wp:anchor distT="0" distB="0" distL="114300" distR="114300" simplePos="0" relativeHeight="251660288" behindDoc="1" locked="0" layoutInCell="1" allowOverlap="1">
          <wp:simplePos x="0" y="0"/>
          <wp:positionH relativeFrom="column">
            <wp:posOffset>109220</wp:posOffset>
          </wp:positionH>
          <wp:positionV relativeFrom="paragraph">
            <wp:posOffset>-123825</wp:posOffset>
          </wp:positionV>
          <wp:extent cx="1363345" cy="583565"/>
          <wp:effectExtent l="0" t="0" r="8255" b="698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Pr>
        <w:rFonts w:hint="eastAsia"/>
      </w:rPr>
      <w:t xml:space="preserve"> </w:t>
    </w:r>
    <w:r>
      <w:t xml:space="preserve">                                                     </w:t>
    </w:r>
    <w:r>
      <w:rPr>
        <w:rFonts w:hint="eastAsia"/>
      </w:rPr>
      <w:t xml:space="preserve">     </w:t>
    </w:r>
    <w:r>
      <w:rPr>
        <w:rFonts w:hint="eastAsia" w:ascii="黑体" w:hAnsi="黑体" w:eastAsia="黑体" w:cs="黑体"/>
      </w:rPr>
      <w:t xml:space="preserve"> 华润置地合同结算作业指引</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仿宋" w:hAnsi="仿宋" w:eastAsia="仿宋"/>
      </w:rPr>
    </w:pPr>
  </w:p>
  <w:p>
    <w:pPr>
      <w:pStyle w:val="9"/>
      <w:wordWrap w:val="0"/>
      <w:spacing w:line="240" w:lineRule="auto"/>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240" w:lineRule="auto"/>
      <w:jc w:val="right"/>
      <w:rPr>
        <w:rFonts w:ascii="黑体" w:hAnsi="黑体" w:eastAsia="黑体" w:cs="黑体"/>
      </w:rPr>
    </w:pPr>
    <w:r>
      <w:rPr>
        <w:rFonts w:hint="eastAsia" w:ascii="华文细黑" w:hAnsi="华文细黑" w:eastAsia="华文细黑" w:cs="华文细黑"/>
        <w:color w:val="FF0000"/>
        <w:kern w:val="0"/>
        <w:sz w:val="21"/>
        <w:szCs w:val="22"/>
      </w:rPr>
      <w:drawing>
        <wp:anchor distT="0" distB="0" distL="114300" distR="114300" simplePos="0" relativeHeight="251659264" behindDoc="1" locked="0" layoutInCell="1" allowOverlap="1">
          <wp:simplePos x="0" y="0"/>
          <wp:positionH relativeFrom="column">
            <wp:posOffset>31750</wp:posOffset>
          </wp:positionH>
          <wp:positionV relativeFrom="paragraph">
            <wp:posOffset>110490</wp:posOffset>
          </wp:positionV>
          <wp:extent cx="1363345" cy="583565"/>
          <wp:effectExtent l="0" t="0" r="8255" b="698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Pr>
        <w:rFonts w:hint="eastAsia" w:ascii="华文细黑" w:hAnsi="华文细黑" w:eastAsia="华文细黑" w:cs="华文细黑"/>
      </w:rPr>
      <w:t xml:space="preserve">                                                     </w:t>
    </w:r>
    <w:r>
      <w:rPr>
        <w:rFonts w:hint="eastAsia" w:ascii="黑体" w:hAnsi="黑体" w:eastAsia="黑体" w:cs="黑体"/>
      </w:rPr>
      <w:t>华润置地合同结算作业指引</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仿宋" w:hAnsi="仿宋" w:eastAsia="仿宋"/>
      </w:rPr>
    </w:pPr>
  </w:p>
  <w:p>
    <w:pPr>
      <w:pStyle w:val="9"/>
      <w:spacing w:line="240" w:lineRule="auto"/>
      <w:jc w:val="right"/>
      <w:rPr>
        <w:rFonts w:ascii="仿宋" w:hAnsi="仿宋" w:eastAsia="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C1B5A"/>
    <w:multiLevelType w:val="multilevel"/>
    <w:tmpl w:val="4EDC1B5A"/>
    <w:lvl w:ilvl="0" w:tentative="0">
      <w:start w:val="1"/>
      <w:numFmt w:val="decimal"/>
      <w:lvlText w:val="%1"/>
      <w:lvlJc w:val="left"/>
      <w:pPr>
        <w:ind w:left="720" w:hanging="720"/>
      </w:pPr>
      <w:rPr>
        <w:rFonts w:hint="default"/>
      </w:rPr>
    </w:lvl>
    <w:lvl w:ilvl="1" w:tentative="0">
      <w:start w:val="1"/>
      <w:numFmt w:val="decimal"/>
      <w:isLgl/>
      <w:lvlText w:val="%1.%2"/>
      <w:lvlJc w:val="left"/>
      <w:pPr>
        <w:ind w:left="405"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zODZmNjc0OTRjM2Q1OWI0N2U4MGVkZGU2MjI1NDkifQ=="/>
  </w:docVars>
  <w:rsids>
    <w:rsidRoot w:val="00172A27"/>
    <w:rsid w:val="000044B7"/>
    <w:rsid w:val="0001150F"/>
    <w:rsid w:val="000119E3"/>
    <w:rsid w:val="00011D9D"/>
    <w:rsid w:val="00014350"/>
    <w:rsid w:val="00016D61"/>
    <w:rsid w:val="00023399"/>
    <w:rsid w:val="0003094E"/>
    <w:rsid w:val="00031EF6"/>
    <w:rsid w:val="00040F58"/>
    <w:rsid w:val="000433B3"/>
    <w:rsid w:val="0004516D"/>
    <w:rsid w:val="000518ED"/>
    <w:rsid w:val="00062CA5"/>
    <w:rsid w:val="00072364"/>
    <w:rsid w:val="00072B0F"/>
    <w:rsid w:val="00076151"/>
    <w:rsid w:val="00081C0C"/>
    <w:rsid w:val="000846A7"/>
    <w:rsid w:val="00087797"/>
    <w:rsid w:val="000921BF"/>
    <w:rsid w:val="000972F8"/>
    <w:rsid w:val="000A629E"/>
    <w:rsid w:val="000A7C3F"/>
    <w:rsid w:val="000B0A58"/>
    <w:rsid w:val="000C04C7"/>
    <w:rsid w:val="000C261B"/>
    <w:rsid w:val="000C2857"/>
    <w:rsid w:val="000D04D0"/>
    <w:rsid w:val="000D59E7"/>
    <w:rsid w:val="000F4CE5"/>
    <w:rsid w:val="000F5326"/>
    <w:rsid w:val="000F5579"/>
    <w:rsid w:val="000F5D46"/>
    <w:rsid w:val="00101F04"/>
    <w:rsid w:val="001073B1"/>
    <w:rsid w:val="0010788F"/>
    <w:rsid w:val="001129C2"/>
    <w:rsid w:val="001206A2"/>
    <w:rsid w:val="00124DA9"/>
    <w:rsid w:val="00126F79"/>
    <w:rsid w:val="00136749"/>
    <w:rsid w:val="001425A8"/>
    <w:rsid w:val="00145A43"/>
    <w:rsid w:val="00145AEE"/>
    <w:rsid w:val="00152972"/>
    <w:rsid w:val="001543A7"/>
    <w:rsid w:val="00157BD5"/>
    <w:rsid w:val="00163D9A"/>
    <w:rsid w:val="001673F2"/>
    <w:rsid w:val="001728C5"/>
    <w:rsid w:val="00172A27"/>
    <w:rsid w:val="001822BB"/>
    <w:rsid w:val="001830B9"/>
    <w:rsid w:val="00193F38"/>
    <w:rsid w:val="0019455E"/>
    <w:rsid w:val="001A0EB7"/>
    <w:rsid w:val="001A1EB0"/>
    <w:rsid w:val="001A5998"/>
    <w:rsid w:val="001B5546"/>
    <w:rsid w:val="001D6F84"/>
    <w:rsid w:val="001F0A1F"/>
    <w:rsid w:val="001F1BDB"/>
    <w:rsid w:val="001F3A23"/>
    <w:rsid w:val="001F4776"/>
    <w:rsid w:val="001F5798"/>
    <w:rsid w:val="00201338"/>
    <w:rsid w:val="00202E52"/>
    <w:rsid w:val="00211CDB"/>
    <w:rsid w:val="0022045C"/>
    <w:rsid w:val="00221648"/>
    <w:rsid w:val="00225DC4"/>
    <w:rsid w:val="002333D2"/>
    <w:rsid w:val="00233B8D"/>
    <w:rsid w:val="00233C9C"/>
    <w:rsid w:val="002437BE"/>
    <w:rsid w:val="00243E65"/>
    <w:rsid w:val="002464B4"/>
    <w:rsid w:val="00247965"/>
    <w:rsid w:val="00253D31"/>
    <w:rsid w:val="00255FD4"/>
    <w:rsid w:val="002570AD"/>
    <w:rsid w:val="002635AA"/>
    <w:rsid w:val="002679FF"/>
    <w:rsid w:val="0028019F"/>
    <w:rsid w:val="00280EE2"/>
    <w:rsid w:val="00280FED"/>
    <w:rsid w:val="0028129C"/>
    <w:rsid w:val="00281373"/>
    <w:rsid w:val="002852D4"/>
    <w:rsid w:val="00286543"/>
    <w:rsid w:val="00286F52"/>
    <w:rsid w:val="0029081F"/>
    <w:rsid w:val="00295D60"/>
    <w:rsid w:val="002A62D5"/>
    <w:rsid w:val="002B3B4E"/>
    <w:rsid w:val="002C3E44"/>
    <w:rsid w:val="002C727C"/>
    <w:rsid w:val="002D7EE4"/>
    <w:rsid w:val="002F2995"/>
    <w:rsid w:val="002F5B4B"/>
    <w:rsid w:val="00304540"/>
    <w:rsid w:val="00311F13"/>
    <w:rsid w:val="00313381"/>
    <w:rsid w:val="003136F2"/>
    <w:rsid w:val="00313A62"/>
    <w:rsid w:val="003333EF"/>
    <w:rsid w:val="003363F0"/>
    <w:rsid w:val="0034013B"/>
    <w:rsid w:val="00344ABA"/>
    <w:rsid w:val="00351CD4"/>
    <w:rsid w:val="00354527"/>
    <w:rsid w:val="00357D07"/>
    <w:rsid w:val="00382889"/>
    <w:rsid w:val="00390137"/>
    <w:rsid w:val="00393D1D"/>
    <w:rsid w:val="003A18A8"/>
    <w:rsid w:val="003A41E4"/>
    <w:rsid w:val="003A6698"/>
    <w:rsid w:val="003A7A62"/>
    <w:rsid w:val="003C30B2"/>
    <w:rsid w:val="003C36A3"/>
    <w:rsid w:val="003D387A"/>
    <w:rsid w:val="003E4B39"/>
    <w:rsid w:val="003F23EF"/>
    <w:rsid w:val="003F4565"/>
    <w:rsid w:val="003F61EA"/>
    <w:rsid w:val="004058FB"/>
    <w:rsid w:val="004135BC"/>
    <w:rsid w:val="00414C82"/>
    <w:rsid w:val="004179E9"/>
    <w:rsid w:val="00421C60"/>
    <w:rsid w:val="0042271E"/>
    <w:rsid w:val="00423A43"/>
    <w:rsid w:val="00431FBD"/>
    <w:rsid w:val="00434C45"/>
    <w:rsid w:val="00437795"/>
    <w:rsid w:val="00442B39"/>
    <w:rsid w:val="00444087"/>
    <w:rsid w:val="004458E7"/>
    <w:rsid w:val="00445B50"/>
    <w:rsid w:val="004502E9"/>
    <w:rsid w:val="00451BEA"/>
    <w:rsid w:val="004644ED"/>
    <w:rsid w:val="004668E9"/>
    <w:rsid w:val="00470446"/>
    <w:rsid w:val="004716A2"/>
    <w:rsid w:val="004722F8"/>
    <w:rsid w:val="00475017"/>
    <w:rsid w:val="00475D72"/>
    <w:rsid w:val="0049744C"/>
    <w:rsid w:val="004977D6"/>
    <w:rsid w:val="004B3431"/>
    <w:rsid w:val="004C04FA"/>
    <w:rsid w:val="004C4028"/>
    <w:rsid w:val="004C6F92"/>
    <w:rsid w:val="004D07CD"/>
    <w:rsid w:val="004D1913"/>
    <w:rsid w:val="004D651D"/>
    <w:rsid w:val="004E6414"/>
    <w:rsid w:val="004F6518"/>
    <w:rsid w:val="005048B1"/>
    <w:rsid w:val="005058D0"/>
    <w:rsid w:val="005069DA"/>
    <w:rsid w:val="0051678E"/>
    <w:rsid w:val="005178C5"/>
    <w:rsid w:val="00523149"/>
    <w:rsid w:val="00526747"/>
    <w:rsid w:val="00526F4A"/>
    <w:rsid w:val="00536159"/>
    <w:rsid w:val="00541D05"/>
    <w:rsid w:val="00542FAF"/>
    <w:rsid w:val="00552A36"/>
    <w:rsid w:val="00555C8D"/>
    <w:rsid w:val="00557E17"/>
    <w:rsid w:val="00562B67"/>
    <w:rsid w:val="00562EC6"/>
    <w:rsid w:val="005739E9"/>
    <w:rsid w:val="00582EA0"/>
    <w:rsid w:val="00583DAC"/>
    <w:rsid w:val="00584E98"/>
    <w:rsid w:val="00590916"/>
    <w:rsid w:val="00594CCD"/>
    <w:rsid w:val="0059501B"/>
    <w:rsid w:val="005A4EBF"/>
    <w:rsid w:val="005A60E7"/>
    <w:rsid w:val="005A76C5"/>
    <w:rsid w:val="005B046C"/>
    <w:rsid w:val="005B0A99"/>
    <w:rsid w:val="005C25D6"/>
    <w:rsid w:val="005C2E27"/>
    <w:rsid w:val="005C4904"/>
    <w:rsid w:val="005C5A9B"/>
    <w:rsid w:val="005C6BED"/>
    <w:rsid w:val="005C7CA6"/>
    <w:rsid w:val="005D607D"/>
    <w:rsid w:val="005D68A4"/>
    <w:rsid w:val="005E0BA4"/>
    <w:rsid w:val="005E70E8"/>
    <w:rsid w:val="0060073A"/>
    <w:rsid w:val="00606050"/>
    <w:rsid w:val="00614699"/>
    <w:rsid w:val="00615257"/>
    <w:rsid w:val="00615CD4"/>
    <w:rsid w:val="006161BA"/>
    <w:rsid w:val="00621DBF"/>
    <w:rsid w:val="00623D8A"/>
    <w:rsid w:val="00624947"/>
    <w:rsid w:val="00645F79"/>
    <w:rsid w:val="006536DB"/>
    <w:rsid w:val="0065619C"/>
    <w:rsid w:val="006636B5"/>
    <w:rsid w:val="0066531E"/>
    <w:rsid w:val="00670930"/>
    <w:rsid w:val="00672D99"/>
    <w:rsid w:val="0067683F"/>
    <w:rsid w:val="00686E1E"/>
    <w:rsid w:val="00697EA8"/>
    <w:rsid w:val="006A571F"/>
    <w:rsid w:val="006B084F"/>
    <w:rsid w:val="006B3D03"/>
    <w:rsid w:val="006B4CE4"/>
    <w:rsid w:val="006C2CD3"/>
    <w:rsid w:val="006C5BB1"/>
    <w:rsid w:val="006C6706"/>
    <w:rsid w:val="006D165B"/>
    <w:rsid w:val="006D39EA"/>
    <w:rsid w:val="006D3C50"/>
    <w:rsid w:val="006D66E6"/>
    <w:rsid w:val="006D6B0D"/>
    <w:rsid w:val="006E1C86"/>
    <w:rsid w:val="006E2ABB"/>
    <w:rsid w:val="006E2EDE"/>
    <w:rsid w:val="006E711E"/>
    <w:rsid w:val="0070157C"/>
    <w:rsid w:val="007020D5"/>
    <w:rsid w:val="00703783"/>
    <w:rsid w:val="00705363"/>
    <w:rsid w:val="007136C8"/>
    <w:rsid w:val="00715A59"/>
    <w:rsid w:val="00720FC2"/>
    <w:rsid w:val="00727427"/>
    <w:rsid w:val="0073417C"/>
    <w:rsid w:val="0073636E"/>
    <w:rsid w:val="00736962"/>
    <w:rsid w:val="00746A10"/>
    <w:rsid w:val="00750837"/>
    <w:rsid w:val="00750C80"/>
    <w:rsid w:val="0075788E"/>
    <w:rsid w:val="00774879"/>
    <w:rsid w:val="00775E0B"/>
    <w:rsid w:val="00777291"/>
    <w:rsid w:val="00777A96"/>
    <w:rsid w:val="007803FF"/>
    <w:rsid w:val="00784673"/>
    <w:rsid w:val="00786BC2"/>
    <w:rsid w:val="00790111"/>
    <w:rsid w:val="00791223"/>
    <w:rsid w:val="00795232"/>
    <w:rsid w:val="007972D3"/>
    <w:rsid w:val="0079789B"/>
    <w:rsid w:val="007A4E4C"/>
    <w:rsid w:val="007B36C6"/>
    <w:rsid w:val="007B38CF"/>
    <w:rsid w:val="007B3D87"/>
    <w:rsid w:val="007C2411"/>
    <w:rsid w:val="007C7C20"/>
    <w:rsid w:val="007E0CC0"/>
    <w:rsid w:val="007E10A2"/>
    <w:rsid w:val="007E2A0C"/>
    <w:rsid w:val="007F3C83"/>
    <w:rsid w:val="007F4A68"/>
    <w:rsid w:val="00802712"/>
    <w:rsid w:val="00806A8B"/>
    <w:rsid w:val="00807326"/>
    <w:rsid w:val="00812B9E"/>
    <w:rsid w:val="0081689B"/>
    <w:rsid w:val="00830AA7"/>
    <w:rsid w:val="008457EA"/>
    <w:rsid w:val="00851FF6"/>
    <w:rsid w:val="0086595F"/>
    <w:rsid w:val="00882C64"/>
    <w:rsid w:val="0088467F"/>
    <w:rsid w:val="00886FAA"/>
    <w:rsid w:val="008A3E6C"/>
    <w:rsid w:val="008B5635"/>
    <w:rsid w:val="008C0E2A"/>
    <w:rsid w:val="008C1D21"/>
    <w:rsid w:val="008C7C09"/>
    <w:rsid w:val="008D38E3"/>
    <w:rsid w:val="008D3C9A"/>
    <w:rsid w:val="008E287F"/>
    <w:rsid w:val="008E7874"/>
    <w:rsid w:val="008E7985"/>
    <w:rsid w:val="008F03BD"/>
    <w:rsid w:val="008F3402"/>
    <w:rsid w:val="00904DD2"/>
    <w:rsid w:val="0091654A"/>
    <w:rsid w:val="009165D4"/>
    <w:rsid w:val="00920AF3"/>
    <w:rsid w:val="009401F6"/>
    <w:rsid w:val="00947C06"/>
    <w:rsid w:val="0096250B"/>
    <w:rsid w:val="00976141"/>
    <w:rsid w:val="00985753"/>
    <w:rsid w:val="00985E47"/>
    <w:rsid w:val="00996074"/>
    <w:rsid w:val="009A3655"/>
    <w:rsid w:val="009A3BA0"/>
    <w:rsid w:val="009B6C06"/>
    <w:rsid w:val="009C2126"/>
    <w:rsid w:val="009C38AB"/>
    <w:rsid w:val="009C4CD9"/>
    <w:rsid w:val="009C706D"/>
    <w:rsid w:val="009D483E"/>
    <w:rsid w:val="009D5002"/>
    <w:rsid w:val="009D611E"/>
    <w:rsid w:val="009D6CEC"/>
    <w:rsid w:val="009E274A"/>
    <w:rsid w:val="009E65FC"/>
    <w:rsid w:val="009F1877"/>
    <w:rsid w:val="009F42CD"/>
    <w:rsid w:val="009F5C60"/>
    <w:rsid w:val="00A07AE7"/>
    <w:rsid w:val="00A11898"/>
    <w:rsid w:val="00A13DC5"/>
    <w:rsid w:val="00A2571E"/>
    <w:rsid w:val="00A302F8"/>
    <w:rsid w:val="00A30D4B"/>
    <w:rsid w:val="00A32634"/>
    <w:rsid w:val="00A34D04"/>
    <w:rsid w:val="00A374EA"/>
    <w:rsid w:val="00A60817"/>
    <w:rsid w:val="00A644C7"/>
    <w:rsid w:val="00A6496C"/>
    <w:rsid w:val="00A65050"/>
    <w:rsid w:val="00A7156B"/>
    <w:rsid w:val="00A77E61"/>
    <w:rsid w:val="00A80E33"/>
    <w:rsid w:val="00A81CB7"/>
    <w:rsid w:val="00A82FFE"/>
    <w:rsid w:val="00A83E7F"/>
    <w:rsid w:val="00A90AE0"/>
    <w:rsid w:val="00A95565"/>
    <w:rsid w:val="00AA25E8"/>
    <w:rsid w:val="00AA3557"/>
    <w:rsid w:val="00AA4F2B"/>
    <w:rsid w:val="00AB063B"/>
    <w:rsid w:val="00AB4B7C"/>
    <w:rsid w:val="00AB722C"/>
    <w:rsid w:val="00AC1D07"/>
    <w:rsid w:val="00AC1FE7"/>
    <w:rsid w:val="00AC2987"/>
    <w:rsid w:val="00AC3422"/>
    <w:rsid w:val="00AD0081"/>
    <w:rsid w:val="00AE2404"/>
    <w:rsid w:val="00AE31FB"/>
    <w:rsid w:val="00AE521D"/>
    <w:rsid w:val="00AE540F"/>
    <w:rsid w:val="00AF4EBB"/>
    <w:rsid w:val="00AF5812"/>
    <w:rsid w:val="00AF5EC1"/>
    <w:rsid w:val="00AF6474"/>
    <w:rsid w:val="00B00B55"/>
    <w:rsid w:val="00B10CFF"/>
    <w:rsid w:val="00B14C19"/>
    <w:rsid w:val="00B168AD"/>
    <w:rsid w:val="00B22930"/>
    <w:rsid w:val="00B31FD2"/>
    <w:rsid w:val="00B353F7"/>
    <w:rsid w:val="00B35B3B"/>
    <w:rsid w:val="00B40C78"/>
    <w:rsid w:val="00B559D0"/>
    <w:rsid w:val="00B60C5B"/>
    <w:rsid w:val="00B73DEA"/>
    <w:rsid w:val="00B7480F"/>
    <w:rsid w:val="00B81CA7"/>
    <w:rsid w:val="00B85EB2"/>
    <w:rsid w:val="00B944E4"/>
    <w:rsid w:val="00BA202A"/>
    <w:rsid w:val="00BA36F4"/>
    <w:rsid w:val="00BA3FEE"/>
    <w:rsid w:val="00BA4A4E"/>
    <w:rsid w:val="00BA5C01"/>
    <w:rsid w:val="00BB2BA0"/>
    <w:rsid w:val="00BC4052"/>
    <w:rsid w:val="00BD726A"/>
    <w:rsid w:val="00BD738D"/>
    <w:rsid w:val="00C047CF"/>
    <w:rsid w:val="00C06620"/>
    <w:rsid w:val="00C10DA8"/>
    <w:rsid w:val="00C13105"/>
    <w:rsid w:val="00C300AF"/>
    <w:rsid w:val="00C31316"/>
    <w:rsid w:val="00C36F83"/>
    <w:rsid w:val="00C47DCE"/>
    <w:rsid w:val="00C51676"/>
    <w:rsid w:val="00C5492E"/>
    <w:rsid w:val="00C62BCE"/>
    <w:rsid w:val="00C67B24"/>
    <w:rsid w:val="00C67C4A"/>
    <w:rsid w:val="00C708A6"/>
    <w:rsid w:val="00C70B6D"/>
    <w:rsid w:val="00C7114E"/>
    <w:rsid w:val="00C715B6"/>
    <w:rsid w:val="00C72596"/>
    <w:rsid w:val="00C76CC6"/>
    <w:rsid w:val="00C8053B"/>
    <w:rsid w:val="00C80C51"/>
    <w:rsid w:val="00C8144F"/>
    <w:rsid w:val="00C8272B"/>
    <w:rsid w:val="00C84558"/>
    <w:rsid w:val="00C87F43"/>
    <w:rsid w:val="00C93DF9"/>
    <w:rsid w:val="00CA12BD"/>
    <w:rsid w:val="00CA7E36"/>
    <w:rsid w:val="00CB32E8"/>
    <w:rsid w:val="00CB73E0"/>
    <w:rsid w:val="00CD13C6"/>
    <w:rsid w:val="00CD4D68"/>
    <w:rsid w:val="00CF56B1"/>
    <w:rsid w:val="00CF7D4D"/>
    <w:rsid w:val="00D01C86"/>
    <w:rsid w:val="00D02138"/>
    <w:rsid w:val="00D03C18"/>
    <w:rsid w:val="00D04083"/>
    <w:rsid w:val="00D11703"/>
    <w:rsid w:val="00D119B4"/>
    <w:rsid w:val="00D127AF"/>
    <w:rsid w:val="00D25693"/>
    <w:rsid w:val="00D27C7A"/>
    <w:rsid w:val="00D36CC0"/>
    <w:rsid w:val="00D476DE"/>
    <w:rsid w:val="00D515D1"/>
    <w:rsid w:val="00D601B0"/>
    <w:rsid w:val="00D70C18"/>
    <w:rsid w:val="00D7230C"/>
    <w:rsid w:val="00D7371F"/>
    <w:rsid w:val="00D74E0D"/>
    <w:rsid w:val="00D7551B"/>
    <w:rsid w:val="00D913C5"/>
    <w:rsid w:val="00D91475"/>
    <w:rsid w:val="00DA1CB9"/>
    <w:rsid w:val="00DB2B3F"/>
    <w:rsid w:val="00DB3B7A"/>
    <w:rsid w:val="00DB72E0"/>
    <w:rsid w:val="00DC2C35"/>
    <w:rsid w:val="00DC2C60"/>
    <w:rsid w:val="00DC3C62"/>
    <w:rsid w:val="00DD228C"/>
    <w:rsid w:val="00DD5FDB"/>
    <w:rsid w:val="00DE7D5F"/>
    <w:rsid w:val="00DF597F"/>
    <w:rsid w:val="00E0490C"/>
    <w:rsid w:val="00E04CC3"/>
    <w:rsid w:val="00E10281"/>
    <w:rsid w:val="00E10E54"/>
    <w:rsid w:val="00E118B2"/>
    <w:rsid w:val="00E1698A"/>
    <w:rsid w:val="00E21683"/>
    <w:rsid w:val="00E26D8A"/>
    <w:rsid w:val="00E36A89"/>
    <w:rsid w:val="00E40D9F"/>
    <w:rsid w:val="00E40E11"/>
    <w:rsid w:val="00E45115"/>
    <w:rsid w:val="00E46CCD"/>
    <w:rsid w:val="00E46DEF"/>
    <w:rsid w:val="00E53313"/>
    <w:rsid w:val="00E60FBE"/>
    <w:rsid w:val="00E63154"/>
    <w:rsid w:val="00E73741"/>
    <w:rsid w:val="00E7423D"/>
    <w:rsid w:val="00E768BB"/>
    <w:rsid w:val="00E77E3C"/>
    <w:rsid w:val="00E917D9"/>
    <w:rsid w:val="00E918E9"/>
    <w:rsid w:val="00E9238E"/>
    <w:rsid w:val="00E96650"/>
    <w:rsid w:val="00EA155B"/>
    <w:rsid w:val="00EA2D3D"/>
    <w:rsid w:val="00EA577F"/>
    <w:rsid w:val="00EA7682"/>
    <w:rsid w:val="00EB2EB9"/>
    <w:rsid w:val="00EB7583"/>
    <w:rsid w:val="00EC4D3B"/>
    <w:rsid w:val="00EC5878"/>
    <w:rsid w:val="00EC6FF9"/>
    <w:rsid w:val="00ED4F98"/>
    <w:rsid w:val="00EE534F"/>
    <w:rsid w:val="00EF1B55"/>
    <w:rsid w:val="00EF25B7"/>
    <w:rsid w:val="00F008EF"/>
    <w:rsid w:val="00F0120A"/>
    <w:rsid w:val="00F04E35"/>
    <w:rsid w:val="00F12227"/>
    <w:rsid w:val="00F2742E"/>
    <w:rsid w:val="00F34DC6"/>
    <w:rsid w:val="00F36B1A"/>
    <w:rsid w:val="00F376C2"/>
    <w:rsid w:val="00F511BD"/>
    <w:rsid w:val="00F55F93"/>
    <w:rsid w:val="00F56D3A"/>
    <w:rsid w:val="00F61188"/>
    <w:rsid w:val="00F61DF3"/>
    <w:rsid w:val="00F67C0A"/>
    <w:rsid w:val="00F67E36"/>
    <w:rsid w:val="00F751AA"/>
    <w:rsid w:val="00F82DF8"/>
    <w:rsid w:val="00F9060D"/>
    <w:rsid w:val="00F96EEF"/>
    <w:rsid w:val="00FA0213"/>
    <w:rsid w:val="00FB5450"/>
    <w:rsid w:val="00FC2E24"/>
    <w:rsid w:val="00FC32BE"/>
    <w:rsid w:val="00FC38FD"/>
    <w:rsid w:val="00FC4CC0"/>
    <w:rsid w:val="00FD520B"/>
    <w:rsid w:val="00FD5EF6"/>
    <w:rsid w:val="00FD7277"/>
    <w:rsid w:val="00FE4742"/>
    <w:rsid w:val="00FF0B82"/>
    <w:rsid w:val="00FF4751"/>
    <w:rsid w:val="01204FF3"/>
    <w:rsid w:val="013F3066"/>
    <w:rsid w:val="014E1950"/>
    <w:rsid w:val="01BD43A0"/>
    <w:rsid w:val="01BE6779"/>
    <w:rsid w:val="01E133B5"/>
    <w:rsid w:val="022B78D6"/>
    <w:rsid w:val="0262473C"/>
    <w:rsid w:val="02626AC3"/>
    <w:rsid w:val="0292471C"/>
    <w:rsid w:val="02C929A6"/>
    <w:rsid w:val="02D1744C"/>
    <w:rsid w:val="02DA6A72"/>
    <w:rsid w:val="031A6655"/>
    <w:rsid w:val="032517A1"/>
    <w:rsid w:val="0375665A"/>
    <w:rsid w:val="03B43C0D"/>
    <w:rsid w:val="03BB01E9"/>
    <w:rsid w:val="03DA02B1"/>
    <w:rsid w:val="053A3080"/>
    <w:rsid w:val="05431D60"/>
    <w:rsid w:val="05454965"/>
    <w:rsid w:val="056832A0"/>
    <w:rsid w:val="057A00FB"/>
    <w:rsid w:val="05C46A73"/>
    <w:rsid w:val="05C54871"/>
    <w:rsid w:val="05CB7FC9"/>
    <w:rsid w:val="05D747BF"/>
    <w:rsid w:val="061B2DE7"/>
    <w:rsid w:val="064E4617"/>
    <w:rsid w:val="068B43AA"/>
    <w:rsid w:val="068E6D7A"/>
    <w:rsid w:val="06AE4466"/>
    <w:rsid w:val="06B13CD9"/>
    <w:rsid w:val="06CF2368"/>
    <w:rsid w:val="06D32F28"/>
    <w:rsid w:val="06D470D2"/>
    <w:rsid w:val="06E551D2"/>
    <w:rsid w:val="0702570C"/>
    <w:rsid w:val="071000F1"/>
    <w:rsid w:val="07354728"/>
    <w:rsid w:val="07D240C9"/>
    <w:rsid w:val="07E63CF9"/>
    <w:rsid w:val="08136954"/>
    <w:rsid w:val="082D4EAC"/>
    <w:rsid w:val="086867D8"/>
    <w:rsid w:val="0884409F"/>
    <w:rsid w:val="092E5809"/>
    <w:rsid w:val="0932264C"/>
    <w:rsid w:val="09373202"/>
    <w:rsid w:val="097C4799"/>
    <w:rsid w:val="09A76CD5"/>
    <w:rsid w:val="09AB6D97"/>
    <w:rsid w:val="09C71EA0"/>
    <w:rsid w:val="09E133E3"/>
    <w:rsid w:val="0A4049AA"/>
    <w:rsid w:val="0A666804"/>
    <w:rsid w:val="0A865A17"/>
    <w:rsid w:val="0A946D38"/>
    <w:rsid w:val="0B076B0F"/>
    <w:rsid w:val="0B143DD7"/>
    <w:rsid w:val="0B5368FA"/>
    <w:rsid w:val="0B616441"/>
    <w:rsid w:val="0B686F31"/>
    <w:rsid w:val="0B7110C4"/>
    <w:rsid w:val="0BB568DF"/>
    <w:rsid w:val="0BD029FA"/>
    <w:rsid w:val="0BD444C0"/>
    <w:rsid w:val="0BE179B8"/>
    <w:rsid w:val="0C385B8F"/>
    <w:rsid w:val="0C7F5B7A"/>
    <w:rsid w:val="0C947BCF"/>
    <w:rsid w:val="0CAF038E"/>
    <w:rsid w:val="0CF44387"/>
    <w:rsid w:val="0CFC2AC7"/>
    <w:rsid w:val="0D107261"/>
    <w:rsid w:val="0D3073BE"/>
    <w:rsid w:val="0DD113E2"/>
    <w:rsid w:val="0DDE2460"/>
    <w:rsid w:val="0E101F30"/>
    <w:rsid w:val="0E1306D1"/>
    <w:rsid w:val="0E4144E2"/>
    <w:rsid w:val="0E6023F9"/>
    <w:rsid w:val="0ECA2C80"/>
    <w:rsid w:val="0EE42B4A"/>
    <w:rsid w:val="0EF83B0E"/>
    <w:rsid w:val="0F1D755B"/>
    <w:rsid w:val="0F7E4553"/>
    <w:rsid w:val="0FA15E24"/>
    <w:rsid w:val="101871BC"/>
    <w:rsid w:val="102A4E7E"/>
    <w:rsid w:val="102B7159"/>
    <w:rsid w:val="10DC3867"/>
    <w:rsid w:val="10EF1494"/>
    <w:rsid w:val="10FA61E8"/>
    <w:rsid w:val="11323E26"/>
    <w:rsid w:val="11465BA4"/>
    <w:rsid w:val="11537305"/>
    <w:rsid w:val="119671A0"/>
    <w:rsid w:val="119B524F"/>
    <w:rsid w:val="11C76E58"/>
    <w:rsid w:val="11CD34C3"/>
    <w:rsid w:val="11DE1AFF"/>
    <w:rsid w:val="1201450B"/>
    <w:rsid w:val="120B3226"/>
    <w:rsid w:val="123D11D7"/>
    <w:rsid w:val="126949FE"/>
    <w:rsid w:val="12765BF9"/>
    <w:rsid w:val="12984C5C"/>
    <w:rsid w:val="12A63836"/>
    <w:rsid w:val="1339593E"/>
    <w:rsid w:val="13416D17"/>
    <w:rsid w:val="137F6912"/>
    <w:rsid w:val="13A4450D"/>
    <w:rsid w:val="13DA7043"/>
    <w:rsid w:val="13E54833"/>
    <w:rsid w:val="14505ACF"/>
    <w:rsid w:val="147E33C3"/>
    <w:rsid w:val="14954E36"/>
    <w:rsid w:val="149E3FBF"/>
    <w:rsid w:val="158D1A28"/>
    <w:rsid w:val="15AE587B"/>
    <w:rsid w:val="15C21AE9"/>
    <w:rsid w:val="162C6B0B"/>
    <w:rsid w:val="164436FC"/>
    <w:rsid w:val="164C5CE6"/>
    <w:rsid w:val="169A31E3"/>
    <w:rsid w:val="169C14AB"/>
    <w:rsid w:val="16A23860"/>
    <w:rsid w:val="16C90227"/>
    <w:rsid w:val="17704733"/>
    <w:rsid w:val="177D425F"/>
    <w:rsid w:val="178E50CB"/>
    <w:rsid w:val="17921888"/>
    <w:rsid w:val="17AD378F"/>
    <w:rsid w:val="1807170E"/>
    <w:rsid w:val="183038F4"/>
    <w:rsid w:val="185F5EEE"/>
    <w:rsid w:val="189E456C"/>
    <w:rsid w:val="18C01A72"/>
    <w:rsid w:val="18C534C8"/>
    <w:rsid w:val="18ED2C9A"/>
    <w:rsid w:val="195C1916"/>
    <w:rsid w:val="195F6A45"/>
    <w:rsid w:val="1A91578F"/>
    <w:rsid w:val="1AA305E6"/>
    <w:rsid w:val="1B227932"/>
    <w:rsid w:val="1BA93D22"/>
    <w:rsid w:val="1BED2A5E"/>
    <w:rsid w:val="1BFB04A1"/>
    <w:rsid w:val="1C0B67C7"/>
    <w:rsid w:val="1C4775FA"/>
    <w:rsid w:val="1C48213A"/>
    <w:rsid w:val="1C4E5D69"/>
    <w:rsid w:val="1C593E78"/>
    <w:rsid w:val="1C6440A4"/>
    <w:rsid w:val="1C73266D"/>
    <w:rsid w:val="1C80623F"/>
    <w:rsid w:val="1CCA0DC1"/>
    <w:rsid w:val="1CFC5E47"/>
    <w:rsid w:val="1D523F76"/>
    <w:rsid w:val="1D7D6283"/>
    <w:rsid w:val="1D803F17"/>
    <w:rsid w:val="1DED4BF1"/>
    <w:rsid w:val="1DF95348"/>
    <w:rsid w:val="1E24173B"/>
    <w:rsid w:val="1E3D58CA"/>
    <w:rsid w:val="1E535D85"/>
    <w:rsid w:val="1E6B6377"/>
    <w:rsid w:val="1EB5778F"/>
    <w:rsid w:val="1EE42590"/>
    <w:rsid w:val="1F7A644A"/>
    <w:rsid w:val="1F9A51C0"/>
    <w:rsid w:val="1FBF2943"/>
    <w:rsid w:val="1FE3397A"/>
    <w:rsid w:val="200851FE"/>
    <w:rsid w:val="20264A83"/>
    <w:rsid w:val="203E7618"/>
    <w:rsid w:val="20502F39"/>
    <w:rsid w:val="2090690B"/>
    <w:rsid w:val="209B62DD"/>
    <w:rsid w:val="20A86A68"/>
    <w:rsid w:val="20D335BD"/>
    <w:rsid w:val="20F33763"/>
    <w:rsid w:val="210438AA"/>
    <w:rsid w:val="21366FF2"/>
    <w:rsid w:val="213C18D9"/>
    <w:rsid w:val="214708BD"/>
    <w:rsid w:val="21733B21"/>
    <w:rsid w:val="21AA799E"/>
    <w:rsid w:val="21C833EE"/>
    <w:rsid w:val="221E16BC"/>
    <w:rsid w:val="22364CF5"/>
    <w:rsid w:val="223B5D1E"/>
    <w:rsid w:val="22705452"/>
    <w:rsid w:val="22984BB8"/>
    <w:rsid w:val="22A14B54"/>
    <w:rsid w:val="22C1462B"/>
    <w:rsid w:val="22D671F8"/>
    <w:rsid w:val="22E318F9"/>
    <w:rsid w:val="22ED42D6"/>
    <w:rsid w:val="22FA298F"/>
    <w:rsid w:val="232F4114"/>
    <w:rsid w:val="23304BA8"/>
    <w:rsid w:val="23491201"/>
    <w:rsid w:val="234F2545"/>
    <w:rsid w:val="23533674"/>
    <w:rsid w:val="2371261B"/>
    <w:rsid w:val="23B1678D"/>
    <w:rsid w:val="23CA1C87"/>
    <w:rsid w:val="23D05411"/>
    <w:rsid w:val="23E6421B"/>
    <w:rsid w:val="240D4EE1"/>
    <w:rsid w:val="24413A97"/>
    <w:rsid w:val="24AD4FD3"/>
    <w:rsid w:val="24D52A3E"/>
    <w:rsid w:val="24DE1DBF"/>
    <w:rsid w:val="254303AF"/>
    <w:rsid w:val="25441DE4"/>
    <w:rsid w:val="25A53601"/>
    <w:rsid w:val="25C56681"/>
    <w:rsid w:val="261F234A"/>
    <w:rsid w:val="262A643C"/>
    <w:rsid w:val="262D6CAB"/>
    <w:rsid w:val="26375358"/>
    <w:rsid w:val="266E6F40"/>
    <w:rsid w:val="267C6A98"/>
    <w:rsid w:val="26A34F42"/>
    <w:rsid w:val="26CF0F3C"/>
    <w:rsid w:val="26F62044"/>
    <w:rsid w:val="27021588"/>
    <w:rsid w:val="2723323C"/>
    <w:rsid w:val="27524196"/>
    <w:rsid w:val="27B03FF4"/>
    <w:rsid w:val="27CE2685"/>
    <w:rsid w:val="27D53820"/>
    <w:rsid w:val="27E16B0F"/>
    <w:rsid w:val="27EA6568"/>
    <w:rsid w:val="286A4271"/>
    <w:rsid w:val="288E212E"/>
    <w:rsid w:val="28B06E37"/>
    <w:rsid w:val="28BD31DD"/>
    <w:rsid w:val="28D53714"/>
    <w:rsid w:val="28F02EB3"/>
    <w:rsid w:val="28F1592D"/>
    <w:rsid w:val="292850ED"/>
    <w:rsid w:val="296021A6"/>
    <w:rsid w:val="297E3A24"/>
    <w:rsid w:val="29867B35"/>
    <w:rsid w:val="29C32AEC"/>
    <w:rsid w:val="29D37471"/>
    <w:rsid w:val="29EC173D"/>
    <w:rsid w:val="29F63EBA"/>
    <w:rsid w:val="2A175AFE"/>
    <w:rsid w:val="2A595961"/>
    <w:rsid w:val="2A616579"/>
    <w:rsid w:val="2ABA6F67"/>
    <w:rsid w:val="2AE438C5"/>
    <w:rsid w:val="2AEE5EDD"/>
    <w:rsid w:val="2AF7079E"/>
    <w:rsid w:val="2B0E4C96"/>
    <w:rsid w:val="2B202D52"/>
    <w:rsid w:val="2B3877CA"/>
    <w:rsid w:val="2B4123D7"/>
    <w:rsid w:val="2B483A3D"/>
    <w:rsid w:val="2BD272B4"/>
    <w:rsid w:val="2BFE7BD9"/>
    <w:rsid w:val="2C1D3757"/>
    <w:rsid w:val="2C2C58ED"/>
    <w:rsid w:val="2C3A2A59"/>
    <w:rsid w:val="2C791D6C"/>
    <w:rsid w:val="2CA97892"/>
    <w:rsid w:val="2CBA4E36"/>
    <w:rsid w:val="2CCE239E"/>
    <w:rsid w:val="2D060F91"/>
    <w:rsid w:val="2D0A4650"/>
    <w:rsid w:val="2D374DD0"/>
    <w:rsid w:val="2D3D4CEE"/>
    <w:rsid w:val="2D6609E0"/>
    <w:rsid w:val="2D7E1848"/>
    <w:rsid w:val="2DA03B71"/>
    <w:rsid w:val="2DEA0AD1"/>
    <w:rsid w:val="2DF858B3"/>
    <w:rsid w:val="2DF90313"/>
    <w:rsid w:val="2E091F04"/>
    <w:rsid w:val="2E6627CB"/>
    <w:rsid w:val="2E8D7F1B"/>
    <w:rsid w:val="2EA0008D"/>
    <w:rsid w:val="2EBF46AB"/>
    <w:rsid w:val="2EE16E5E"/>
    <w:rsid w:val="2EE77C08"/>
    <w:rsid w:val="2EFD7002"/>
    <w:rsid w:val="2F635E2F"/>
    <w:rsid w:val="2F69733B"/>
    <w:rsid w:val="2F7354F0"/>
    <w:rsid w:val="2FE536C9"/>
    <w:rsid w:val="2FF04D4B"/>
    <w:rsid w:val="30105C8D"/>
    <w:rsid w:val="302723FD"/>
    <w:rsid w:val="30351674"/>
    <w:rsid w:val="30391658"/>
    <w:rsid w:val="304E3F84"/>
    <w:rsid w:val="30633305"/>
    <w:rsid w:val="307827AE"/>
    <w:rsid w:val="309E7F61"/>
    <w:rsid w:val="30A90AC2"/>
    <w:rsid w:val="30C354BF"/>
    <w:rsid w:val="30C50DD9"/>
    <w:rsid w:val="30CD37E0"/>
    <w:rsid w:val="30CE2752"/>
    <w:rsid w:val="30D52BC3"/>
    <w:rsid w:val="310D1808"/>
    <w:rsid w:val="311C7EB5"/>
    <w:rsid w:val="31292EF4"/>
    <w:rsid w:val="316033A7"/>
    <w:rsid w:val="32073B3A"/>
    <w:rsid w:val="32207920"/>
    <w:rsid w:val="324C6BB1"/>
    <w:rsid w:val="32502C36"/>
    <w:rsid w:val="328012FE"/>
    <w:rsid w:val="32A56B0B"/>
    <w:rsid w:val="32A87345"/>
    <w:rsid w:val="32F90B74"/>
    <w:rsid w:val="333942C4"/>
    <w:rsid w:val="3339734B"/>
    <w:rsid w:val="334B21FA"/>
    <w:rsid w:val="33783E97"/>
    <w:rsid w:val="33A40F94"/>
    <w:rsid w:val="33F72E2E"/>
    <w:rsid w:val="33FD4651"/>
    <w:rsid w:val="343F1A2F"/>
    <w:rsid w:val="349A6B28"/>
    <w:rsid w:val="34A27F4B"/>
    <w:rsid w:val="34C15978"/>
    <w:rsid w:val="34D52369"/>
    <w:rsid w:val="34E75C3B"/>
    <w:rsid w:val="350260A2"/>
    <w:rsid w:val="35086CBF"/>
    <w:rsid w:val="353A0BD6"/>
    <w:rsid w:val="3568051F"/>
    <w:rsid w:val="3576798F"/>
    <w:rsid w:val="359E4309"/>
    <w:rsid w:val="36347D1E"/>
    <w:rsid w:val="36365984"/>
    <w:rsid w:val="365241F1"/>
    <w:rsid w:val="366679BC"/>
    <w:rsid w:val="368068CD"/>
    <w:rsid w:val="369E2528"/>
    <w:rsid w:val="36B24D5D"/>
    <w:rsid w:val="36C92DBD"/>
    <w:rsid w:val="36F56EF3"/>
    <w:rsid w:val="378D7A3B"/>
    <w:rsid w:val="37AD57EB"/>
    <w:rsid w:val="37FD648B"/>
    <w:rsid w:val="38255C15"/>
    <w:rsid w:val="38573F25"/>
    <w:rsid w:val="3861448F"/>
    <w:rsid w:val="38A16EEE"/>
    <w:rsid w:val="38E14E65"/>
    <w:rsid w:val="393A7322"/>
    <w:rsid w:val="396A7037"/>
    <w:rsid w:val="39837B1B"/>
    <w:rsid w:val="39CC15D6"/>
    <w:rsid w:val="39DA4553"/>
    <w:rsid w:val="39DA6D07"/>
    <w:rsid w:val="3A22302A"/>
    <w:rsid w:val="3A2B5780"/>
    <w:rsid w:val="3A9F7E2E"/>
    <w:rsid w:val="3AB019D0"/>
    <w:rsid w:val="3ACC6796"/>
    <w:rsid w:val="3AE503D0"/>
    <w:rsid w:val="3AEA2715"/>
    <w:rsid w:val="3B075E14"/>
    <w:rsid w:val="3B232BC8"/>
    <w:rsid w:val="3B3058B6"/>
    <w:rsid w:val="3B650579"/>
    <w:rsid w:val="3B697B48"/>
    <w:rsid w:val="3B6A3CEE"/>
    <w:rsid w:val="3B7F3117"/>
    <w:rsid w:val="3BCF061A"/>
    <w:rsid w:val="3BE86AAF"/>
    <w:rsid w:val="3BFB0E88"/>
    <w:rsid w:val="3C1A183C"/>
    <w:rsid w:val="3C735195"/>
    <w:rsid w:val="3C977E81"/>
    <w:rsid w:val="3D3B5F15"/>
    <w:rsid w:val="3D443585"/>
    <w:rsid w:val="3D521C55"/>
    <w:rsid w:val="3D5944E2"/>
    <w:rsid w:val="3D643E34"/>
    <w:rsid w:val="3D79105D"/>
    <w:rsid w:val="3DA2180A"/>
    <w:rsid w:val="3DAC5E1D"/>
    <w:rsid w:val="3DE770EC"/>
    <w:rsid w:val="3E562B6F"/>
    <w:rsid w:val="3E6232F4"/>
    <w:rsid w:val="3EAB6191"/>
    <w:rsid w:val="3EE6674F"/>
    <w:rsid w:val="3EEA3946"/>
    <w:rsid w:val="3EFE4E3F"/>
    <w:rsid w:val="3F3A3321"/>
    <w:rsid w:val="3FA13D74"/>
    <w:rsid w:val="3FC14690"/>
    <w:rsid w:val="3FF76E04"/>
    <w:rsid w:val="40136C29"/>
    <w:rsid w:val="40CB317E"/>
    <w:rsid w:val="40E459A9"/>
    <w:rsid w:val="40F63FC9"/>
    <w:rsid w:val="41223465"/>
    <w:rsid w:val="41391B02"/>
    <w:rsid w:val="415C4899"/>
    <w:rsid w:val="418D0722"/>
    <w:rsid w:val="41914821"/>
    <w:rsid w:val="41A070DF"/>
    <w:rsid w:val="41F56DF8"/>
    <w:rsid w:val="427A0318"/>
    <w:rsid w:val="429B1AF8"/>
    <w:rsid w:val="42CA7C8C"/>
    <w:rsid w:val="43566E93"/>
    <w:rsid w:val="43593762"/>
    <w:rsid w:val="43682319"/>
    <w:rsid w:val="436F5E95"/>
    <w:rsid w:val="43736463"/>
    <w:rsid w:val="43976C75"/>
    <w:rsid w:val="43B32DB8"/>
    <w:rsid w:val="43B550BD"/>
    <w:rsid w:val="43CC0F1B"/>
    <w:rsid w:val="43DE4209"/>
    <w:rsid w:val="43E316A0"/>
    <w:rsid w:val="43FB5964"/>
    <w:rsid w:val="442154D0"/>
    <w:rsid w:val="443B71C9"/>
    <w:rsid w:val="4442163B"/>
    <w:rsid w:val="444262F7"/>
    <w:rsid w:val="445618C9"/>
    <w:rsid w:val="44AA60D5"/>
    <w:rsid w:val="450E1E19"/>
    <w:rsid w:val="45157C91"/>
    <w:rsid w:val="45622A1C"/>
    <w:rsid w:val="458F7717"/>
    <w:rsid w:val="45E37279"/>
    <w:rsid w:val="45F7546C"/>
    <w:rsid w:val="46220F8C"/>
    <w:rsid w:val="46242A77"/>
    <w:rsid w:val="4627255B"/>
    <w:rsid w:val="462F3D3F"/>
    <w:rsid w:val="463021D7"/>
    <w:rsid w:val="46401675"/>
    <w:rsid w:val="46755BBE"/>
    <w:rsid w:val="46803AE7"/>
    <w:rsid w:val="46C47603"/>
    <w:rsid w:val="46EA0352"/>
    <w:rsid w:val="46FE232D"/>
    <w:rsid w:val="47455CF3"/>
    <w:rsid w:val="47B271F1"/>
    <w:rsid w:val="480E515A"/>
    <w:rsid w:val="485276C6"/>
    <w:rsid w:val="48690F08"/>
    <w:rsid w:val="4870369F"/>
    <w:rsid w:val="489213AC"/>
    <w:rsid w:val="48AD3D7E"/>
    <w:rsid w:val="48B305E5"/>
    <w:rsid w:val="48B4437B"/>
    <w:rsid w:val="48DD3661"/>
    <w:rsid w:val="49186A33"/>
    <w:rsid w:val="495140C9"/>
    <w:rsid w:val="49CD692F"/>
    <w:rsid w:val="49D122FD"/>
    <w:rsid w:val="4A021ADC"/>
    <w:rsid w:val="4A0E4E46"/>
    <w:rsid w:val="4A1B1C2E"/>
    <w:rsid w:val="4A5D6AE9"/>
    <w:rsid w:val="4A6F1398"/>
    <w:rsid w:val="4A77054D"/>
    <w:rsid w:val="4A930FD6"/>
    <w:rsid w:val="4AA5662A"/>
    <w:rsid w:val="4AB554BF"/>
    <w:rsid w:val="4ACA7C75"/>
    <w:rsid w:val="4AD32D37"/>
    <w:rsid w:val="4B631073"/>
    <w:rsid w:val="4B721971"/>
    <w:rsid w:val="4BAD1F06"/>
    <w:rsid w:val="4BBA1588"/>
    <w:rsid w:val="4BCE4F17"/>
    <w:rsid w:val="4BF93C5F"/>
    <w:rsid w:val="4C22013A"/>
    <w:rsid w:val="4C8730CA"/>
    <w:rsid w:val="4CBB4C7D"/>
    <w:rsid w:val="4CC51641"/>
    <w:rsid w:val="4CD01E0F"/>
    <w:rsid w:val="4CE3751A"/>
    <w:rsid w:val="4D1A1F3A"/>
    <w:rsid w:val="4D3B496B"/>
    <w:rsid w:val="4D4F3D01"/>
    <w:rsid w:val="4D660A8C"/>
    <w:rsid w:val="4D9728ED"/>
    <w:rsid w:val="4DAD2F8E"/>
    <w:rsid w:val="4DD932FD"/>
    <w:rsid w:val="4E951645"/>
    <w:rsid w:val="4E9630D1"/>
    <w:rsid w:val="4EEB2A2C"/>
    <w:rsid w:val="4F076FF8"/>
    <w:rsid w:val="4F13376E"/>
    <w:rsid w:val="4F4B10A8"/>
    <w:rsid w:val="4F613683"/>
    <w:rsid w:val="4F73285E"/>
    <w:rsid w:val="4F7A1231"/>
    <w:rsid w:val="4F9C2488"/>
    <w:rsid w:val="4FA73F89"/>
    <w:rsid w:val="4FFD6684"/>
    <w:rsid w:val="50186A98"/>
    <w:rsid w:val="504B7C28"/>
    <w:rsid w:val="50634024"/>
    <w:rsid w:val="50C32AC0"/>
    <w:rsid w:val="50EA6B7C"/>
    <w:rsid w:val="51111389"/>
    <w:rsid w:val="511E5A2A"/>
    <w:rsid w:val="511F2B88"/>
    <w:rsid w:val="513E1976"/>
    <w:rsid w:val="515C6FC5"/>
    <w:rsid w:val="51790E46"/>
    <w:rsid w:val="5187105C"/>
    <w:rsid w:val="518B7AE4"/>
    <w:rsid w:val="51932A21"/>
    <w:rsid w:val="51E76C83"/>
    <w:rsid w:val="51FF03FB"/>
    <w:rsid w:val="522A5627"/>
    <w:rsid w:val="523C40B9"/>
    <w:rsid w:val="52460E4C"/>
    <w:rsid w:val="52BC4957"/>
    <w:rsid w:val="52C4488F"/>
    <w:rsid w:val="52D0373B"/>
    <w:rsid w:val="52D712FA"/>
    <w:rsid w:val="52F50DBE"/>
    <w:rsid w:val="53051D19"/>
    <w:rsid w:val="53640B47"/>
    <w:rsid w:val="538E2A10"/>
    <w:rsid w:val="53CA1C23"/>
    <w:rsid w:val="53CF1AFA"/>
    <w:rsid w:val="53EE1A93"/>
    <w:rsid w:val="54027813"/>
    <w:rsid w:val="542E3246"/>
    <w:rsid w:val="54451150"/>
    <w:rsid w:val="544D6CF0"/>
    <w:rsid w:val="544F66C5"/>
    <w:rsid w:val="545A4A52"/>
    <w:rsid w:val="547A2B2F"/>
    <w:rsid w:val="5487046F"/>
    <w:rsid w:val="549F7F8A"/>
    <w:rsid w:val="54C572F9"/>
    <w:rsid w:val="54F36076"/>
    <w:rsid w:val="553E6B71"/>
    <w:rsid w:val="55471B6B"/>
    <w:rsid w:val="555434A9"/>
    <w:rsid w:val="55883638"/>
    <w:rsid w:val="558A0F7A"/>
    <w:rsid w:val="56255AA6"/>
    <w:rsid w:val="562C31C0"/>
    <w:rsid w:val="56481CCE"/>
    <w:rsid w:val="565421B5"/>
    <w:rsid w:val="5673007B"/>
    <w:rsid w:val="567E0AC3"/>
    <w:rsid w:val="56D6122D"/>
    <w:rsid w:val="56D6341D"/>
    <w:rsid w:val="56E954F2"/>
    <w:rsid w:val="570F1839"/>
    <w:rsid w:val="57185BC5"/>
    <w:rsid w:val="571B3769"/>
    <w:rsid w:val="572C4B77"/>
    <w:rsid w:val="577E29F3"/>
    <w:rsid w:val="57B128E5"/>
    <w:rsid w:val="57E122F0"/>
    <w:rsid w:val="57FE3696"/>
    <w:rsid w:val="580464B7"/>
    <w:rsid w:val="582538DF"/>
    <w:rsid w:val="58314951"/>
    <w:rsid w:val="588E247D"/>
    <w:rsid w:val="58ED7FE6"/>
    <w:rsid w:val="59F741F4"/>
    <w:rsid w:val="59FF7583"/>
    <w:rsid w:val="5A0C1A0A"/>
    <w:rsid w:val="5A2F00CE"/>
    <w:rsid w:val="5A6B76F5"/>
    <w:rsid w:val="5A854954"/>
    <w:rsid w:val="5AA35B6E"/>
    <w:rsid w:val="5AE327BF"/>
    <w:rsid w:val="5B585145"/>
    <w:rsid w:val="5B6345A4"/>
    <w:rsid w:val="5B767EDA"/>
    <w:rsid w:val="5B7F00E0"/>
    <w:rsid w:val="5B954484"/>
    <w:rsid w:val="5BB1074D"/>
    <w:rsid w:val="5C5F3989"/>
    <w:rsid w:val="5C5F6F52"/>
    <w:rsid w:val="5C6B1811"/>
    <w:rsid w:val="5C7A59C9"/>
    <w:rsid w:val="5C827034"/>
    <w:rsid w:val="5C8D1126"/>
    <w:rsid w:val="5CAB7C2D"/>
    <w:rsid w:val="5CDF4EF7"/>
    <w:rsid w:val="5D262F3D"/>
    <w:rsid w:val="5D665FFE"/>
    <w:rsid w:val="5DA8768C"/>
    <w:rsid w:val="5DB60737"/>
    <w:rsid w:val="5DE919D8"/>
    <w:rsid w:val="5DF00CAC"/>
    <w:rsid w:val="5E452864"/>
    <w:rsid w:val="5E502CA1"/>
    <w:rsid w:val="5E791062"/>
    <w:rsid w:val="5E991EC1"/>
    <w:rsid w:val="5EED0ABE"/>
    <w:rsid w:val="5F320D7E"/>
    <w:rsid w:val="5F324820"/>
    <w:rsid w:val="5F357C6C"/>
    <w:rsid w:val="5F594660"/>
    <w:rsid w:val="5FD31CA9"/>
    <w:rsid w:val="5FE5546A"/>
    <w:rsid w:val="6011636D"/>
    <w:rsid w:val="60181A2B"/>
    <w:rsid w:val="609022C3"/>
    <w:rsid w:val="60AE3D38"/>
    <w:rsid w:val="60C91A4B"/>
    <w:rsid w:val="60DB2631"/>
    <w:rsid w:val="60F01CED"/>
    <w:rsid w:val="6106020D"/>
    <w:rsid w:val="61345DBB"/>
    <w:rsid w:val="6177015E"/>
    <w:rsid w:val="61D31BC6"/>
    <w:rsid w:val="61F4600D"/>
    <w:rsid w:val="62373F34"/>
    <w:rsid w:val="624B3D51"/>
    <w:rsid w:val="624D66E8"/>
    <w:rsid w:val="6251132E"/>
    <w:rsid w:val="62743CE9"/>
    <w:rsid w:val="62B02BC1"/>
    <w:rsid w:val="62C07FEA"/>
    <w:rsid w:val="62E47467"/>
    <w:rsid w:val="6339412D"/>
    <w:rsid w:val="636917AD"/>
    <w:rsid w:val="63757A65"/>
    <w:rsid w:val="637703CF"/>
    <w:rsid w:val="638A1C59"/>
    <w:rsid w:val="63993ECD"/>
    <w:rsid w:val="63E217A9"/>
    <w:rsid w:val="63F548CE"/>
    <w:rsid w:val="64540938"/>
    <w:rsid w:val="6467741B"/>
    <w:rsid w:val="649A641F"/>
    <w:rsid w:val="649C1FEB"/>
    <w:rsid w:val="64B20E0C"/>
    <w:rsid w:val="64B41370"/>
    <w:rsid w:val="65530812"/>
    <w:rsid w:val="65534C56"/>
    <w:rsid w:val="657D2E55"/>
    <w:rsid w:val="65912A86"/>
    <w:rsid w:val="65BA10D8"/>
    <w:rsid w:val="65C5765E"/>
    <w:rsid w:val="65F27852"/>
    <w:rsid w:val="6672088D"/>
    <w:rsid w:val="669B3698"/>
    <w:rsid w:val="6733309C"/>
    <w:rsid w:val="673C404A"/>
    <w:rsid w:val="67405153"/>
    <w:rsid w:val="675545E3"/>
    <w:rsid w:val="67674686"/>
    <w:rsid w:val="67765569"/>
    <w:rsid w:val="67F01728"/>
    <w:rsid w:val="68210DAF"/>
    <w:rsid w:val="682501A7"/>
    <w:rsid w:val="683D149C"/>
    <w:rsid w:val="683E512E"/>
    <w:rsid w:val="685F1228"/>
    <w:rsid w:val="690115DD"/>
    <w:rsid w:val="697B0308"/>
    <w:rsid w:val="697E4FBA"/>
    <w:rsid w:val="698E42C3"/>
    <w:rsid w:val="69A91B66"/>
    <w:rsid w:val="69D20FDE"/>
    <w:rsid w:val="6A0519B5"/>
    <w:rsid w:val="6A093C53"/>
    <w:rsid w:val="6A316873"/>
    <w:rsid w:val="6A3C0756"/>
    <w:rsid w:val="6A6B1122"/>
    <w:rsid w:val="6A940DF9"/>
    <w:rsid w:val="6AAF01C4"/>
    <w:rsid w:val="6AB87404"/>
    <w:rsid w:val="6ACE7662"/>
    <w:rsid w:val="6B84243A"/>
    <w:rsid w:val="6BD4723F"/>
    <w:rsid w:val="6BE83338"/>
    <w:rsid w:val="6BFC61F3"/>
    <w:rsid w:val="6C1B6027"/>
    <w:rsid w:val="6C3034C8"/>
    <w:rsid w:val="6C59084F"/>
    <w:rsid w:val="6C593680"/>
    <w:rsid w:val="6C6059AD"/>
    <w:rsid w:val="6C9B1388"/>
    <w:rsid w:val="6CAF1786"/>
    <w:rsid w:val="6CAF7050"/>
    <w:rsid w:val="6CF73F63"/>
    <w:rsid w:val="6CF81CBF"/>
    <w:rsid w:val="6D2E2208"/>
    <w:rsid w:val="6D3E2322"/>
    <w:rsid w:val="6D4A5BC9"/>
    <w:rsid w:val="6D7C6DF1"/>
    <w:rsid w:val="6D7F21AD"/>
    <w:rsid w:val="6DB1382A"/>
    <w:rsid w:val="6DC37A7D"/>
    <w:rsid w:val="6DDE4474"/>
    <w:rsid w:val="6DDF0B9B"/>
    <w:rsid w:val="6DEC49E2"/>
    <w:rsid w:val="6E0C7747"/>
    <w:rsid w:val="6E14643B"/>
    <w:rsid w:val="6E195626"/>
    <w:rsid w:val="6E251A26"/>
    <w:rsid w:val="6E2537C6"/>
    <w:rsid w:val="6E6A01DF"/>
    <w:rsid w:val="6E72129E"/>
    <w:rsid w:val="6ED856A7"/>
    <w:rsid w:val="6EEE1EE7"/>
    <w:rsid w:val="6F0C2990"/>
    <w:rsid w:val="6F3C746D"/>
    <w:rsid w:val="6F5B15B9"/>
    <w:rsid w:val="702863B9"/>
    <w:rsid w:val="70655A24"/>
    <w:rsid w:val="70785451"/>
    <w:rsid w:val="70DD6D7C"/>
    <w:rsid w:val="71924904"/>
    <w:rsid w:val="7197759A"/>
    <w:rsid w:val="71CE1A5C"/>
    <w:rsid w:val="71DD00E7"/>
    <w:rsid w:val="71EE098B"/>
    <w:rsid w:val="71F16636"/>
    <w:rsid w:val="720F02EB"/>
    <w:rsid w:val="724F3B33"/>
    <w:rsid w:val="72667B80"/>
    <w:rsid w:val="726911C8"/>
    <w:rsid w:val="726C2C9C"/>
    <w:rsid w:val="72703011"/>
    <w:rsid w:val="72BB42E9"/>
    <w:rsid w:val="72CF031E"/>
    <w:rsid w:val="72E050B9"/>
    <w:rsid w:val="72E92F0E"/>
    <w:rsid w:val="72FF7BC7"/>
    <w:rsid w:val="7315076C"/>
    <w:rsid w:val="731C3000"/>
    <w:rsid w:val="73342F4B"/>
    <w:rsid w:val="73393A09"/>
    <w:rsid w:val="735E093E"/>
    <w:rsid w:val="735F1B45"/>
    <w:rsid w:val="739914F8"/>
    <w:rsid w:val="73BE3E5D"/>
    <w:rsid w:val="73F97926"/>
    <w:rsid w:val="74007813"/>
    <w:rsid w:val="74693D99"/>
    <w:rsid w:val="747E3845"/>
    <w:rsid w:val="74871E91"/>
    <w:rsid w:val="748942B3"/>
    <w:rsid w:val="749C62AA"/>
    <w:rsid w:val="74B40ED2"/>
    <w:rsid w:val="74BC370B"/>
    <w:rsid w:val="74E25F68"/>
    <w:rsid w:val="752F03D5"/>
    <w:rsid w:val="754919D1"/>
    <w:rsid w:val="759B15CF"/>
    <w:rsid w:val="75A94482"/>
    <w:rsid w:val="75DB4603"/>
    <w:rsid w:val="76010B5C"/>
    <w:rsid w:val="76262B3F"/>
    <w:rsid w:val="762B2774"/>
    <w:rsid w:val="7636449C"/>
    <w:rsid w:val="763840E6"/>
    <w:rsid w:val="766465B4"/>
    <w:rsid w:val="768167EF"/>
    <w:rsid w:val="76864761"/>
    <w:rsid w:val="769B0F53"/>
    <w:rsid w:val="76AD50FF"/>
    <w:rsid w:val="76AD7928"/>
    <w:rsid w:val="76B7563E"/>
    <w:rsid w:val="76B96BF2"/>
    <w:rsid w:val="76F810CD"/>
    <w:rsid w:val="76F911DE"/>
    <w:rsid w:val="77586B31"/>
    <w:rsid w:val="776B446C"/>
    <w:rsid w:val="777069CC"/>
    <w:rsid w:val="7781519D"/>
    <w:rsid w:val="77941790"/>
    <w:rsid w:val="77A03396"/>
    <w:rsid w:val="77E76DDC"/>
    <w:rsid w:val="784B0401"/>
    <w:rsid w:val="784C7E85"/>
    <w:rsid w:val="787D2A29"/>
    <w:rsid w:val="788002F1"/>
    <w:rsid w:val="78AE5418"/>
    <w:rsid w:val="78E870A3"/>
    <w:rsid w:val="79E43739"/>
    <w:rsid w:val="79E910D6"/>
    <w:rsid w:val="7A103F27"/>
    <w:rsid w:val="7A186850"/>
    <w:rsid w:val="7A624626"/>
    <w:rsid w:val="7ABD66B0"/>
    <w:rsid w:val="7B1E0924"/>
    <w:rsid w:val="7B2046E8"/>
    <w:rsid w:val="7B3F45F1"/>
    <w:rsid w:val="7BC42746"/>
    <w:rsid w:val="7BF06447"/>
    <w:rsid w:val="7C253046"/>
    <w:rsid w:val="7C4F5FCB"/>
    <w:rsid w:val="7C5E42C7"/>
    <w:rsid w:val="7C7D3B9A"/>
    <w:rsid w:val="7C8E052B"/>
    <w:rsid w:val="7CA169B8"/>
    <w:rsid w:val="7CBA5B9D"/>
    <w:rsid w:val="7CD94773"/>
    <w:rsid w:val="7D1A0D89"/>
    <w:rsid w:val="7D527795"/>
    <w:rsid w:val="7DAC7203"/>
    <w:rsid w:val="7DBE2C7D"/>
    <w:rsid w:val="7DDC6277"/>
    <w:rsid w:val="7DED5060"/>
    <w:rsid w:val="7E0B18FD"/>
    <w:rsid w:val="7E4315FD"/>
    <w:rsid w:val="7E59675E"/>
    <w:rsid w:val="7E6F55B2"/>
    <w:rsid w:val="7E9F7430"/>
    <w:rsid w:val="7EBA62D3"/>
    <w:rsid w:val="7EBC13DE"/>
    <w:rsid w:val="7F2B3828"/>
    <w:rsid w:val="7F5D67AA"/>
    <w:rsid w:val="7FB444F7"/>
    <w:rsid w:val="7FF2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9"/>
    <w:pPr>
      <w:keepNext/>
      <w:keepLines/>
      <w:spacing w:before="340" w:after="330"/>
      <w:outlineLvl w:val="0"/>
    </w:pPr>
    <w:rPr>
      <w:b/>
      <w:bCs/>
      <w:kern w:val="44"/>
      <w:sz w:val="28"/>
      <w:szCs w:val="44"/>
    </w:rPr>
  </w:style>
  <w:style w:type="paragraph" w:styleId="3">
    <w:name w:val="heading 2"/>
    <w:basedOn w:val="1"/>
    <w:next w:val="1"/>
    <w:link w:val="32"/>
    <w:unhideWhenUsed/>
    <w:qFormat/>
    <w:uiPriority w:val="9"/>
    <w:pPr>
      <w:keepNext/>
      <w:keepLines/>
      <w:spacing w:before="80" w:after="80"/>
      <w:outlineLvl w:val="1"/>
    </w:pPr>
    <w:rPr>
      <w:rFonts w:eastAsia="仿宋" w:asciiTheme="majorHAnsi" w:hAnsiTheme="majorHAnsi" w:cstheme="majorBidi"/>
      <w:b/>
      <w:bCs/>
      <w:szCs w:val="32"/>
    </w:rPr>
  </w:style>
  <w:style w:type="paragraph" w:styleId="4">
    <w:name w:val="heading 3"/>
    <w:basedOn w:val="1"/>
    <w:next w:val="1"/>
    <w:link w:val="33"/>
    <w:unhideWhenUsed/>
    <w:qFormat/>
    <w:uiPriority w:val="9"/>
    <w:pPr>
      <w:keepNext/>
      <w:keepLines/>
      <w:spacing w:before="160" w:after="160"/>
      <w:ind w:left="200" w:leftChars="200"/>
      <w:outlineLvl w:val="2"/>
    </w:pPr>
    <w:rPr>
      <w:rFonts w:ascii="仿宋" w:hAnsi="仿宋" w:eastAsia="仿宋"/>
      <w:b/>
      <w:bCs/>
      <w:szCs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2"/>
    <w:semiHidden/>
    <w:unhideWhenUsed/>
    <w:qFormat/>
    <w:uiPriority w:val="99"/>
    <w:pPr>
      <w:jc w:val="left"/>
    </w:pPr>
  </w:style>
  <w:style w:type="paragraph" w:styleId="6">
    <w:name w:val="toc 3"/>
    <w:basedOn w:val="1"/>
    <w:next w:val="1"/>
    <w:unhideWhenUsed/>
    <w:qFormat/>
    <w:uiPriority w:val="39"/>
    <w:pPr>
      <w:tabs>
        <w:tab w:val="right" w:leader="dot" w:pos="9514"/>
      </w:tabs>
      <w:ind w:left="960" w:leftChars="400"/>
    </w:p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val="0"/>
      <w:tabs>
        <w:tab w:val="left" w:pos="960"/>
        <w:tab w:val="right" w:leader="dot" w:pos="9514"/>
      </w:tabs>
      <w:adjustRightInd w:val="0"/>
      <w:snapToGrid w:val="0"/>
      <w:spacing w:line="240" w:lineRule="auto"/>
    </w:pPr>
    <w:rPr>
      <w:rFonts w:ascii="仿宋" w:hAnsi="仿宋" w:eastAsia="仿宋"/>
      <w:b/>
      <w:bCs/>
    </w:rPr>
  </w:style>
  <w:style w:type="paragraph" w:styleId="11">
    <w:name w:val="footnote text"/>
    <w:basedOn w:val="1"/>
    <w:link w:val="39"/>
    <w:semiHidden/>
    <w:unhideWhenUsed/>
    <w:qFormat/>
    <w:uiPriority w:val="99"/>
    <w:pPr>
      <w:snapToGrid w:val="0"/>
      <w:jc w:val="left"/>
    </w:pPr>
    <w:rPr>
      <w:sz w:val="18"/>
      <w:szCs w:val="18"/>
    </w:rPr>
  </w:style>
  <w:style w:type="paragraph" w:styleId="12">
    <w:name w:val="toc 2"/>
    <w:basedOn w:val="1"/>
    <w:next w:val="1"/>
    <w:unhideWhenUsed/>
    <w:qFormat/>
    <w:uiPriority w:val="39"/>
    <w:pPr>
      <w:tabs>
        <w:tab w:val="right" w:leader="dot" w:pos="9514"/>
      </w:tabs>
      <w:spacing w:line="240" w:lineRule="auto"/>
      <w:ind w:left="480" w:leftChars="200"/>
    </w:pPr>
  </w:style>
  <w:style w:type="paragraph" w:styleId="13">
    <w:name w:val="annotation subject"/>
    <w:basedOn w:val="5"/>
    <w:next w:val="5"/>
    <w:link w:val="43"/>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styleId="19">
    <w:name w:val="footnote reference"/>
    <w:basedOn w:val="16"/>
    <w:semiHidden/>
    <w:unhideWhenUsed/>
    <w:qFormat/>
    <w:uiPriority w:val="99"/>
    <w:rPr>
      <w:vertAlign w:val="superscript"/>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character" w:customStyle="1" w:styleId="22">
    <w:name w:val="批注框文本 Char"/>
    <w:basedOn w:val="16"/>
    <w:link w:val="7"/>
    <w:semiHidden/>
    <w:qFormat/>
    <w:uiPriority w:val="99"/>
    <w:rPr>
      <w:sz w:val="18"/>
      <w:szCs w:val="18"/>
    </w:rPr>
  </w:style>
  <w:style w:type="paragraph" w:styleId="23">
    <w:name w:val="List Paragraph"/>
    <w:basedOn w:val="1"/>
    <w:qFormat/>
    <w:uiPriority w:val="34"/>
    <w:pPr>
      <w:ind w:firstLine="420" w:firstLineChars="200"/>
    </w:pPr>
  </w:style>
  <w:style w:type="paragraph" w:customStyle="1" w:styleId="24">
    <w:name w:val="标题1"/>
    <w:basedOn w:val="1"/>
    <w:link w:val="26"/>
    <w:qFormat/>
    <w:uiPriority w:val="0"/>
    <w:pPr>
      <w:jc w:val="left"/>
    </w:pPr>
    <w:rPr>
      <w:rFonts w:ascii="仿宋" w:hAnsi="仿宋" w:eastAsia="仿宋"/>
      <w:b/>
      <w:color w:val="000000" w:themeColor="text1"/>
      <w:sz w:val="28"/>
      <w:szCs w:val="28"/>
      <w14:textFill>
        <w14:solidFill>
          <w14:schemeClr w14:val="tx1"/>
        </w14:solidFill>
      </w14:textFill>
    </w:rPr>
  </w:style>
  <w:style w:type="paragraph" w:customStyle="1" w:styleId="25">
    <w:name w:val="样式1"/>
    <w:basedOn w:val="1"/>
    <w:link w:val="28"/>
    <w:qFormat/>
    <w:uiPriority w:val="0"/>
    <w:pPr>
      <w:ind w:firstLine="420" w:firstLineChars="200"/>
      <w:jc w:val="left"/>
    </w:pPr>
  </w:style>
  <w:style w:type="character" w:customStyle="1" w:styleId="26">
    <w:name w:val="标题1 Char"/>
    <w:basedOn w:val="16"/>
    <w:link w:val="24"/>
    <w:qFormat/>
    <w:uiPriority w:val="0"/>
    <w:rPr>
      <w:rFonts w:ascii="仿宋" w:hAnsi="仿宋" w:eastAsia="仿宋"/>
      <w:b/>
      <w:color w:val="000000" w:themeColor="text1"/>
      <w:sz w:val="28"/>
      <w:szCs w:val="28"/>
      <w14:textFill>
        <w14:solidFill>
          <w14:schemeClr w14:val="tx1"/>
        </w14:solidFill>
      </w14:textFill>
    </w:rPr>
  </w:style>
  <w:style w:type="paragraph" w:customStyle="1" w:styleId="27">
    <w:name w:val="样式2"/>
    <w:basedOn w:val="1"/>
    <w:link w:val="30"/>
    <w:qFormat/>
    <w:uiPriority w:val="0"/>
    <w:pPr>
      <w:jc w:val="left"/>
    </w:pPr>
    <w:rPr>
      <w:rFonts w:ascii="仿宋" w:hAnsi="仿宋" w:eastAsia="仿宋"/>
      <w:b/>
      <w:color w:val="000000"/>
      <w:szCs w:val="24"/>
    </w:rPr>
  </w:style>
  <w:style w:type="character" w:customStyle="1" w:styleId="28">
    <w:name w:val="样式1 Char"/>
    <w:basedOn w:val="16"/>
    <w:link w:val="25"/>
    <w:qFormat/>
    <w:uiPriority w:val="0"/>
  </w:style>
  <w:style w:type="character" w:customStyle="1" w:styleId="29">
    <w:name w:val="标题 1 Char"/>
    <w:basedOn w:val="16"/>
    <w:link w:val="2"/>
    <w:qFormat/>
    <w:uiPriority w:val="9"/>
    <w:rPr>
      <w:rFonts w:eastAsia="仿宋_GB2312"/>
      <w:b/>
      <w:bCs/>
      <w:kern w:val="44"/>
      <w:sz w:val="28"/>
      <w:szCs w:val="44"/>
    </w:rPr>
  </w:style>
  <w:style w:type="character" w:customStyle="1" w:styleId="30">
    <w:name w:val="样式2 Char"/>
    <w:basedOn w:val="16"/>
    <w:link w:val="27"/>
    <w:qFormat/>
    <w:uiPriority w:val="0"/>
    <w:rPr>
      <w:rFonts w:ascii="仿宋" w:hAnsi="仿宋" w:eastAsia="仿宋"/>
      <w:b/>
      <w:color w:val="000000"/>
      <w:sz w:val="24"/>
      <w:szCs w:val="24"/>
    </w:rPr>
  </w:style>
  <w:style w:type="paragraph" w:customStyle="1" w:styleId="31">
    <w:name w:val="TOC 标题1"/>
    <w:basedOn w:val="2"/>
    <w:next w:val="1"/>
    <w:unhideWhenUsed/>
    <w:qFormat/>
    <w:uiPriority w:val="39"/>
    <w:pPr>
      <w:spacing w:before="480" w:after="0" w:line="276" w:lineRule="auto"/>
      <w:jc w:val="left"/>
      <w:outlineLvl w:val="9"/>
    </w:pPr>
    <w:rPr>
      <w:rFonts w:asciiTheme="majorHAnsi" w:hAnsiTheme="majorHAnsi" w:eastAsiaTheme="majorEastAsia" w:cstheme="majorBidi"/>
      <w:color w:val="376092" w:themeColor="accent1" w:themeShade="BF"/>
      <w:kern w:val="0"/>
      <w:szCs w:val="28"/>
    </w:rPr>
  </w:style>
  <w:style w:type="character" w:customStyle="1" w:styleId="32">
    <w:name w:val="标题 2 Char"/>
    <w:basedOn w:val="16"/>
    <w:link w:val="3"/>
    <w:qFormat/>
    <w:uiPriority w:val="9"/>
    <w:rPr>
      <w:rFonts w:eastAsia="仿宋" w:asciiTheme="majorHAnsi" w:hAnsiTheme="majorHAnsi" w:cstheme="majorBidi"/>
      <w:b/>
      <w:bCs/>
      <w:sz w:val="24"/>
      <w:szCs w:val="32"/>
    </w:rPr>
  </w:style>
  <w:style w:type="character" w:customStyle="1" w:styleId="33">
    <w:name w:val="标题 3 Char"/>
    <w:basedOn w:val="16"/>
    <w:link w:val="4"/>
    <w:qFormat/>
    <w:uiPriority w:val="9"/>
    <w:rPr>
      <w:rFonts w:ascii="仿宋" w:hAnsi="仿宋" w:eastAsia="仿宋"/>
      <w:b/>
      <w:bCs/>
      <w:sz w:val="24"/>
      <w:szCs w:val="32"/>
    </w:rPr>
  </w:style>
  <w:style w:type="paragraph" w:customStyle="1" w:styleId="34">
    <w:name w:val="样式3"/>
    <w:basedOn w:val="1"/>
    <w:link w:val="35"/>
    <w:qFormat/>
    <w:uiPriority w:val="0"/>
    <w:pPr>
      <w:ind w:firstLine="482" w:firstLineChars="200"/>
      <w:jc w:val="left"/>
    </w:pPr>
    <w:rPr>
      <w:rFonts w:ascii="仿宋_GB2312" w:hAnsi="仿宋_GB2312"/>
      <w:b/>
      <w:color w:val="000000"/>
      <w:szCs w:val="24"/>
    </w:rPr>
  </w:style>
  <w:style w:type="character" w:customStyle="1" w:styleId="35">
    <w:name w:val="样式3 Char"/>
    <w:basedOn w:val="16"/>
    <w:link w:val="34"/>
    <w:qFormat/>
    <w:uiPriority w:val="0"/>
    <w:rPr>
      <w:rFonts w:ascii="仿宋_GB2312" w:hAnsi="仿宋_GB2312" w:eastAsia="仿宋_GB2312"/>
      <w:b/>
      <w:color w:val="000000"/>
      <w:sz w:val="24"/>
      <w:szCs w:val="24"/>
    </w:rPr>
  </w:style>
  <w:style w:type="paragraph" w:customStyle="1" w:styleId="36">
    <w:name w:val="一级标题"/>
    <w:basedOn w:val="1"/>
    <w:link w:val="38"/>
    <w:qFormat/>
    <w:uiPriority w:val="0"/>
    <w:rPr>
      <w:b/>
      <w:sz w:val="28"/>
    </w:rPr>
  </w:style>
  <w:style w:type="paragraph" w:styleId="37">
    <w:name w:val="No Spacing"/>
    <w:qFormat/>
    <w:uiPriority w:val="1"/>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customStyle="1" w:styleId="38">
    <w:name w:val="一级标题 Char"/>
    <w:basedOn w:val="16"/>
    <w:link w:val="36"/>
    <w:qFormat/>
    <w:uiPriority w:val="0"/>
    <w:rPr>
      <w:b/>
      <w:sz w:val="28"/>
    </w:rPr>
  </w:style>
  <w:style w:type="character" w:customStyle="1" w:styleId="39">
    <w:name w:val="脚注文本 Char"/>
    <w:basedOn w:val="16"/>
    <w:link w:val="11"/>
    <w:semiHidden/>
    <w:qFormat/>
    <w:uiPriority w:val="99"/>
    <w:rPr>
      <w:rFonts w:eastAsia="仿宋_GB2312"/>
      <w:sz w:val="18"/>
      <w:szCs w:val="18"/>
    </w:rPr>
  </w:style>
  <w:style w:type="character" w:customStyle="1" w:styleId="40">
    <w:name w:val="正文段落 Char"/>
    <w:link w:val="41"/>
    <w:qFormat/>
    <w:uiPriority w:val="0"/>
    <w:rPr>
      <w:rFonts w:ascii="仿宋_GB2312" w:hAnsi="Times New Roman" w:eastAsia="仿宋_GB2312" w:cs="仿宋_GB2312"/>
      <w:sz w:val="28"/>
      <w:szCs w:val="28"/>
    </w:rPr>
  </w:style>
  <w:style w:type="paragraph" w:customStyle="1" w:styleId="41">
    <w:name w:val="正文段落"/>
    <w:basedOn w:val="23"/>
    <w:link w:val="40"/>
    <w:qFormat/>
    <w:uiPriority w:val="0"/>
    <w:pPr>
      <w:ind w:firstLine="560"/>
      <w:jc w:val="left"/>
    </w:pPr>
    <w:rPr>
      <w:rFonts w:ascii="仿宋_GB2312" w:hAnsi="Times New Roman" w:cs="仿宋_GB2312"/>
      <w:sz w:val="28"/>
      <w:szCs w:val="28"/>
    </w:rPr>
  </w:style>
  <w:style w:type="character" w:customStyle="1" w:styleId="42">
    <w:name w:val="批注文字 Char"/>
    <w:basedOn w:val="16"/>
    <w:link w:val="5"/>
    <w:semiHidden/>
    <w:qFormat/>
    <w:uiPriority w:val="99"/>
    <w:rPr>
      <w:rFonts w:eastAsia="仿宋_GB2312" w:asciiTheme="minorHAnsi" w:hAnsiTheme="minorHAnsi" w:cstheme="minorBidi"/>
      <w:kern w:val="2"/>
      <w:sz w:val="24"/>
      <w:szCs w:val="22"/>
    </w:rPr>
  </w:style>
  <w:style w:type="character" w:customStyle="1" w:styleId="43">
    <w:name w:val="批注主题 Char"/>
    <w:basedOn w:val="42"/>
    <w:link w:val="13"/>
    <w:semiHidden/>
    <w:qFormat/>
    <w:uiPriority w:val="99"/>
    <w:rPr>
      <w:rFonts w:eastAsia="仿宋_GB2312" w:asciiTheme="minorHAnsi" w:hAnsiTheme="minorHAnsi" w:cstheme="minorBidi"/>
      <w:b/>
      <w:bCs/>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4CBEF-B4C5-4AD7-A03E-D09150B2E392}">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140</Words>
  <Characters>799</Characters>
  <Lines>6</Lines>
  <Paragraphs>1</Paragraphs>
  <TotalTime>1</TotalTime>
  <ScaleCrop>false</ScaleCrop>
  <LinksUpToDate>false</LinksUpToDate>
  <CharactersWithSpaces>938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2020-11-11T02:29:00Z</dcterms:created>
  <dc:creator>Windows 用户</dc:creator>
  <cp:lastModifiedBy>雾海只影</cp:lastModifiedBy>
  <cp:lastPrinted>2020-05-07T01:11:00Z</cp:lastPrinted>
  <dcterms:modified xsi:type="dcterms:W3CDTF">2023-09-04T11:28:38Z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D79AC561D88D4BDBA2847015AF53A818_12</vt:lpwstr>
  </property>
</Properties>
</file>